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A828BA" w14:textId="5C5C46F5" w:rsidR="00DA12BA" w:rsidRPr="0088704C" w:rsidRDefault="00583010" w:rsidP="005321C4">
      <w:pPr>
        <w:pStyle w:val="MDPI11articletype"/>
        <w:rPr>
          <w:b/>
          <w:color w:val="auto"/>
        </w:rPr>
      </w:pPr>
      <w:r w:rsidRPr="0088704C">
        <w:rPr>
          <w:color w:val="auto"/>
        </w:rPr>
        <w:t xml:space="preserve">Supplementary </w:t>
      </w:r>
      <w:r w:rsidR="003655CF" w:rsidRPr="0088704C">
        <w:rPr>
          <w:color w:val="auto"/>
        </w:rPr>
        <w:t>Materials</w:t>
      </w:r>
    </w:p>
    <w:p w14:paraId="3960AAC5" w14:textId="5225C29F" w:rsidR="00583010" w:rsidRPr="0088704C" w:rsidRDefault="00583010" w:rsidP="005321C4">
      <w:pPr>
        <w:pStyle w:val="MDPI12title"/>
        <w:rPr>
          <w:color w:val="auto"/>
        </w:rPr>
      </w:pPr>
      <w:r w:rsidRPr="0088704C">
        <w:rPr>
          <w:color w:val="auto"/>
        </w:rPr>
        <w:t>Matched Whole-Genome Sequencing (WGS) and Whole-Exome Sequencing (WES) of tumor tissue with Circulating Tumor DNA (ctDNA) Analysis: Complementary Modalities in Clinical Practice</w:t>
      </w:r>
    </w:p>
    <w:p w14:paraId="24FEFDFC" w14:textId="27A58D1F" w:rsidR="00583010" w:rsidRPr="0088704C" w:rsidRDefault="00583010" w:rsidP="005321C4">
      <w:pPr>
        <w:adjustRightInd w:val="0"/>
        <w:snapToGrid w:val="0"/>
        <w:jc w:val="both"/>
        <w:rPr>
          <w:rFonts w:ascii="Palatino Linotype" w:hAnsi="Palatino Linotype"/>
          <w:b/>
          <w:sz w:val="20"/>
          <w:u w:val="single"/>
        </w:rPr>
      </w:pPr>
      <w:r w:rsidRPr="0088704C">
        <w:rPr>
          <w:rFonts w:ascii="Palatino Linotype" w:hAnsi="Palatino Linotype"/>
          <w:sz w:val="20"/>
        </w:rPr>
        <w:t xml:space="preserve">Robin Imperial, </w:t>
      </w:r>
      <w:proofErr w:type="spellStart"/>
      <w:r w:rsidRPr="0088704C">
        <w:rPr>
          <w:rFonts w:ascii="Palatino Linotype" w:hAnsi="Palatino Linotype"/>
          <w:sz w:val="20"/>
        </w:rPr>
        <w:t>Marjan</w:t>
      </w:r>
      <w:proofErr w:type="spellEnd"/>
      <w:r w:rsidRPr="0088704C">
        <w:rPr>
          <w:rFonts w:ascii="Palatino Linotype" w:hAnsi="Palatino Linotype"/>
          <w:sz w:val="20"/>
        </w:rPr>
        <w:t xml:space="preserve"> </w:t>
      </w:r>
      <w:proofErr w:type="spellStart"/>
      <w:r w:rsidRPr="0088704C">
        <w:rPr>
          <w:rFonts w:ascii="Palatino Linotype" w:hAnsi="Palatino Linotype"/>
          <w:sz w:val="20"/>
        </w:rPr>
        <w:t>Nazer</w:t>
      </w:r>
      <w:proofErr w:type="spellEnd"/>
      <w:r w:rsidRPr="0088704C">
        <w:rPr>
          <w:rFonts w:ascii="Palatino Linotype" w:hAnsi="Palatino Linotype"/>
          <w:sz w:val="20"/>
        </w:rPr>
        <w:t xml:space="preserve">, Zaheer Ahmed, Audrey E. Kam, Timothy J. </w:t>
      </w:r>
      <w:proofErr w:type="spellStart"/>
      <w:r w:rsidRPr="0088704C">
        <w:rPr>
          <w:rFonts w:ascii="Palatino Linotype" w:hAnsi="Palatino Linotype"/>
          <w:sz w:val="20"/>
        </w:rPr>
        <w:t>Pluard</w:t>
      </w:r>
      <w:proofErr w:type="spellEnd"/>
      <w:r w:rsidRPr="0088704C">
        <w:rPr>
          <w:rFonts w:ascii="Palatino Linotype" w:hAnsi="Palatino Linotype"/>
          <w:sz w:val="20"/>
        </w:rPr>
        <w:t xml:space="preserve">, </w:t>
      </w:r>
      <w:proofErr w:type="spellStart"/>
      <w:r w:rsidRPr="0088704C">
        <w:rPr>
          <w:rFonts w:ascii="Palatino Linotype" w:hAnsi="Palatino Linotype"/>
          <w:sz w:val="20"/>
        </w:rPr>
        <w:t>Waled</w:t>
      </w:r>
      <w:proofErr w:type="spellEnd"/>
      <w:r w:rsidRPr="0088704C">
        <w:rPr>
          <w:rFonts w:ascii="Palatino Linotype" w:hAnsi="Palatino Linotype"/>
          <w:sz w:val="20"/>
        </w:rPr>
        <w:t xml:space="preserve"> </w:t>
      </w:r>
      <w:proofErr w:type="spellStart"/>
      <w:r w:rsidRPr="0088704C">
        <w:rPr>
          <w:rFonts w:ascii="Palatino Linotype" w:hAnsi="Palatino Linotype"/>
          <w:sz w:val="20"/>
        </w:rPr>
        <w:t>Bahaj</w:t>
      </w:r>
      <w:proofErr w:type="spellEnd"/>
      <w:r w:rsidRPr="0088704C">
        <w:rPr>
          <w:rFonts w:ascii="Palatino Linotype" w:hAnsi="Palatino Linotype"/>
          <w:sz w:val="20"/>
          <w:vertAlign w:val="subscript"/>
        </w:rPr>
        <w:t>,</w:t>
      </w:r>
      <w:r w:rsidRPr="0088704C">
        <w:rPr>
          <w:rFonts w:ascii="Palatino Linotype" w:hAnsi="Palatino Linotype"/>
          <w:sz w:val="20"/>
          <w:vertAlign w:val="superscript"/>
        </w:rPr>
        <w:t xml:space="preserve"> </w:t>
      </w:r>
      <w:r w:rsidRPr="0088704C">
        <w:rPr>
          <w:rFonts w:ascii="Palatino Linotype" w:hAnsi="Palatino Linotype"/>
          <w:sz w:val="20"/>
        </w:rPr>
        <w:t xml:space="preserve">Mia Levy, Timothy M. </w:t>
      </w:r>
      <w:proofErr w:type="spellStart"/>
      <w:r w:rsidRPr="0088704C">
        <w:rPr>
          <w:rFonts w:ascii="Palatino Linotype" w:hAnsi="Palatino Linotype"/>
          <w:sz w:val="20"/>
        </w:rPr>
        <w:t>Kuzel</w:t>
      </w:r>
      <w:proofErr w:type="spellEnd"/>
      <w:r w:rsidRPr="0088704C">
        <w:rPr>
          <w:rFonts w:ascii="Palatino Linotype" w:hAnsi="Palatino Linotype"/>
          <w:sz w:val="20"/>
        </w:rPr>
        <w:t xml:space="preserve">, Dana M. Hayden Sam G. Pappas, </w:t>
      </w:r>
      <w:proofErr w:type="spellStart"/>
      <w:r w:rsidRPr="0088704C">
        <w:rPr>
          <w:rFonts w:ascii="Palatino Linotype" w:hAnsi="Palatino Linotype"/>
          <w:sz w:val="20"/>
        </w:rPr>
        <w:t>Janakiraman</w:t>
      </w:r>
      <w:proofErr w:type="spellEnd"/>
      <w:r w:rsidRPr="0088704C">
        <w:rPr>
          <w:rFonts w:ascii="Palatino Linotype" w:hAnsi="Palatino Linotype"/>
          <w:sz w:val="20"/>
        </w:rPr>
        <w:t xml:space="preserve"> Subramanian and Ashiq Masood</w:t>
      </w:r>
    </w:p>
    <w:p w14:paraId="3974C719" w14:textId="26123EC6" w:rsidR="00E0165C" w:rsidRPr="0088704C" w:rsidRDefault="00E0165C" w:rsidP="005321C4">
      <w:pPr>
        <w:pStyle w:val="MDPI21heading1"/>
        <w:rPr>
          <w:color w:val="auto"/>
        </w:rPr>
      </w:pPr>
      <w:r w:rsidRPr="0088704C">
        <w:rPr>
          <w:color w:val="auto"/>
        </w:rPr>
        <w:t>Supplemental Methods</w:t>
      </w:r>
    </w:p>
    <w:p w14:paraId="2381C382" w14:textId="0EA70B9A" w:rsidR="004D3EA5" w:rsidRPr="0088704C" w:rsidRDefault="008E5C58" w:rsidP="005321C4">
      <w:pPr>
        <w:pStyle w:val="MDPI22heading2"/>
        <w:rPr>
          <w:noProof w:val="0"/>
          <w:color w:val="auto"/>
        </w:rPr>
      </w:pPr>
      <w:r w:rsidRPr="0088704C">
        <w:rPr>
          <w:noProof w:val="0"/>
          <w:color w:val="auto"/>
        </w:rPr>
        <w:t>Tissue Whole-Genome Sequencing:</w:t>
      </w:r>
    </w:p>
    <w:p w14:paraId="64D0B572" w14:textId="7E1896BD" w:rsidR="00E838A9" w:rsidRPr="0088704C" w:rsidRDefault="00E838A9" w:rsidP="005321C4">
      <w:pPr>
        <w:pStyle w:val="MDPI22heading2"/>
        <w:rPr>
          <w:noProof w:val="0"/>
          <w:color w:val="auto"/>
        </w:rPr>
      </w:pPr>
      <w:proofErr w:type="spellStart"/>
      <w:r w:rsidRPr="0088704C">
        <w:rPr>
          <w:noProof w:val="0"/>
          <w:color w:val="auto"/>
        </w:rPr>
        <w:t>NantOmics</w:t>
      </w:r>
      <w:proofErr w:type="spellEnd"/>
      <w:r w:rsidRPr="0088704C">
        <w:rPr>
          <w:noProof w:val="0"/>
          <w:color w:val="auto"/>
        </w:rPr>
        <w:t xml:space="preserve"> Platform</w:t>
      </w:r>
    </w:p>
    <w:p w14:paraId="67FD4859" w14:textId="0EC8DC1C" w:rsidR="008E5C58" w:rsidRPr="0088704C" w:rsidRDefault="00E41CE4" w:rsidP="005321C4">
      <w:pPr>
        <w:pStyle w:val="MDPI31text"/>
        <w:rPr>
          <w:color w:val="auto"/>
        </w:rPr>
      </w:pPr>
      <w:r w:rsidRPr="0088704C">
        <w:rPr>
          <w:color w:val="auto"/>
        </w:rPr>
        <w:t>Formalin-fixed paraffin embedded (FFPE) t</w:t>
      </w:r>
      <w:r w:rsidR="00374E35" w:rsidRPr="0088704C">
        <w:rPr>
          <w:color w:val="auto"/>
        </w:rPr>
        <w:t>umor</w:t>
      </w:r>
      <w:r w:rsidRPr="0088704C">
        <w:rPr>
          <w:color w:val="auto"/>
        </w:rPr>
        <w:t xml:space="preserve"> samples</w:t>
      </w:r>
      <w:r w:rsidR="00C01486" w:rsidRPr="0088704C">
        <w:rPr>
          <w:color w:val="auto"/>
        </w:rPr>
        <w:t xml:space="preserve"> (</w:t>
      </w:r>
      <w:r w:rsidR="00C01486" w:rsidRPr="0088704C">
        <w:rPr>
          <w:i/>
          <w:color w:val="auto"/>
        </w:rPr>
        <w:t>n</w:t>
      </w:r>
      <w:r w:rsidR="00142748" w:rsidRPr="0088704C">
        <w:rPr>
          <w:color w:val="auto"/>
        </w:rPr>
        <w:t xml:space="preserve"> </w:t>
      </w:r>
      <w:r w:rsidR="00C01486" w:rsidRPr="0088704C">
        <w:rPr>
          <w:color w:val="auto"/>
        </w:rPr>
        <w:t>=</w:t>
      </w:r>
      <w:r w:rsidR="00142748" w:rsidRPr="0088704C">
        <w:rPr>
          <w:color w:val="auto"/>
        </w:rPr>
        <w:t xml:space="preserve"> 49)</w:t>
      </w:r>
      <w:r w:rsidRPr="0088704C">
        <w:rPr>
          <w:color w:val="auto"/>
        </w:rPr>
        <w:t xml:space="preserve"> sent to </w:t>
      </w:r>
      <w:proofErr w:type="spellStart"/>
      <w:r w:rsidRPr="0088704C">
        <w:rPr>
          <w:color w:val="auto"/>
        </w:rPr>
        <w:t>NantOmics</w:t>
      </w:r>
      <w:proofErr w:type="spellEnd"/>
      <w:r w:rsidRPr="0088704C">
        <w:rPr>
          <w:color w:val="auto"/>
        </w:rPr>
        <w:t xml:space="preserve"> for whole genome sequencing</w:t>
      </w:r>
      <w:r w:rsidR="00BF5766" w:rsidRPr="0088704C">
        <w:rPr>
          <w:color w:val="auto"/>
        </w:rPr>
        <w:t xml:space="preserve"> </w:t>
      </w:r>
      <w:r w:rsidR="008E5C58" w:rsidRPr="0088704C">
        <w:rPr>
          <w:color w:val="auto"/>
        </w:rPr>
        <w:t>(WGS)</w:t>
      </w:r>
      <w:r w:rsidRPr="0088704C">
        <w:rPr>
          <w:color w:val="auto"/>
        </w:rPr>
        <w:t xml:space="preserve"> were analyzed as previously described </w:t>
      </w:r>
      <w:bookmarkStart w:id="0" w:name="EXISTREF1"/>
      <w:r w:rsidR="0034584D" w:rsidRPr="0088704C">
        <w:rPr>
          <w:color w:val="auto"/>
        </w:rPr>
        <w:t>[</w:t>
      </w:r>
      <w:r w:rsidRPr="0088704C">
        <w:rPr>
          <w:color w:val="auto"/>
        </w:rPr>
        <w:t>1</w:t>
      </w:r>
      <w:r w:rsidR="0034584D" w:rsidRPr="0088704C">
        <w:rPr>
          <w:color w:val="auto"/>
        </w:rPr>
        <w:t>]</w:t>
      </w:r>
      <w:bookmarkEnd w:id="0"/>
      <w:r w:rsidRPr="0088704C">
        <w:rPr>
          <w:color w:val="auto"/>
        </w:rPr>
        <w:t xml:space="preserve">. </w:t>
      </w:r>
      <w:r w:rsidR="008E5C58" w:rsidRPr="0088704C">
        <w:rPr>
          <w:color w:val="auto"/>
        </w:rPr>
        <w:t xml:space="preserve">Following DNA extraction, next generation sequencing was carried out using </w:t>
      </w:r>
      <w:proofErr w:type="spellStart"/>
      <w:r w:rsidR="008E5C58" w:rsidRPr="0088704C">
        <w:rPr>
          <w:color w:val="auto"/>
        </w:rPr>
        <w:t>illumina</w:t>
      </w:r>
      <w:proofErr w:type="spellEnd"/>
      <w:r w:rsidR="008E5C58" w:rsidRPr="0088704C">
        <w:rPr>
          <w:color w:val="auto"/>
        </w:rPr>
        <w:t xml:space="preserve"> platform. Normal tissue was sequenced at </w:t>
      </w:r>
      <w:r w:rsidR="00BF5766" w:rsidRPr="0088704C">
        <w:rPr>
          <w:color w:val="auto"/>
        </w:rPr>
        <w:t xml:space="preserve">an </w:t>
      </w:r>
      <w:r w:rsidR="008E5C58" w:rsidRPr="0088704C">
        <w:rPr>
          <w:color w:val="auto"/>
        </w:rPr>
        <w:t>average read depths at 30</w:t>
      </w:r>
      <w:r w:rsidR="006B45D7" w:rsidRPr="0088704C">
        <w:rPr>
          <w:color w:val="auto"/>
        </w:rPr>
        <w:t>×</w:t>
      </w:r>
      <w:r w:rsidR="008E5C58" w:rsidRPr="0088704C">
        <w:rPr>
          <w:color w:val="auto"/>
        </w:rPr>
        <w:t xml:space="preserve"> whereas tumor tissue was sequenced at average read depth of approximately 60</w:t>
      </w:r>
      <w:r w:rsidR="006B45D7" w:rsidRPr="0088704C">
        <w:rPr>
          <w:color w:val="auto"/>
        </w:rPr>
        <w:t>×</w:t>
      </w:r>
      <w:r w:rsidR="008E5C58" w:rsidRPr="0088704C">
        <w:rPr>
          <w:color w:val="auto"/>
        </w:rPr>
        <w:t xml:space="preserve">. Reference based alignment of both Normal and tumor tissue was carried out using Burrows-Wheeler Aligner </w:t>
      </w:r>
      <w:bookmarkStart w:id="1" w:name="EXISTREF2"/>
      <w:r w:rsidR="0034584D" w:rsidRPr="0088704C">
        <w:rPr>
          <w:color w:val="auto"/>
        </w:rPr>
        <w:t>[</w:t>
      </w:r>
      <w:r w:rsidR="00BF5766" w:rsidRPr="0088704C">
        <w:rPr>
          <w:color w:val="auto"/>
        </w:rPr>
        <w:t>2</w:t>
      </w:r>
      <w:r w:rsidR="0034584D" w:rsidRPr="0088704C">
        <w:rPr>
          <w:color w:val="auto"/>
        </w:rPr>
        <w:t>]</w:t>
      </w:r>
      <w:bookmarkEnd w:id="1"/>
      <w:r w:rsidR="008E5C58" w:rsidRPr="0088704C">
        <w:rPr>
          <w:color w:val="auto"/>
        </w:rPr>
        <w:t xml:space="preserve">. </w:t>
      </w:r>
      <w:proofErr w:type="spellStart"/>
      <w:r w:rsidR="008E5C58" w:rsidRPr="0088704C">
        <w:rPr>
          <w:color w:val="auto"/>
        </w:rPr>
        <w:t>Samblaster</w:t>
      </w:r>
      <w:proofErr w:type="spellEnd"/>
      <w:r w:rsidR="008E5C58" w:rsidRPr="0088704C">
        <w:rPr>
          <w:color w:val="auto"/>
        </w:rPr>
        <w:t xml:space="preserve"> was used for duplicate marking</w:t>
      </w:r>
      <w:r w:rsidR="00BF5766" w:rsidRPr="0088704C">
        <w:rPr>
          <w:color w:val="auto"/>
        </w:rPr>
        <w:t xml:space="preserve"> </w:t>
      </w:r>
      <w:bookmarkStart w:id="2" w:name="EXISTREF3"/>
      <w:r w:rsidR="0034584D" w:rsidRPr="0088704C">
        <w:rPr>
          <w:color w:val="auto"/>
        </w:rPr>
        <w:t>[</w:t>
      </w:r>
      <w:r w:rsidR="00BF5766" w:rsidRPr="0088704C">
        <w:rPr>
          <w:color w:val="auto"/>
        </w:rPr>
        <w:t>3</w:t>
      </w:r>
      <w:r w:rsidR="0034584D" w:rsidRPr="0088704C">
        <w:rPr>
          <w:color w:val="auto"/>
        </w:rPr>
        <w:t>]</w:t>
      </w:r>
      <w:bookmarkEnd w:id="2"/>
      <w:r w:rsidR="008E5C58" w:rsidRPr="0088704C">
        <w:rPr>
          <w:color w:val="auto"/>
        </w:rPr>
        <w:t>.</w:t>
      </w:r>
      <w:r w:rsidR="00BF5766" w:rsidRPr="0088704C">
        <w:rPr>
          <w:color w:val="auto"/>
        </w:rPr>
        <w:t xml:space="preserve"> </w:t>
      </w:r>
      <w:proofErr w:type="spellStart"/>
      <w:r w:rsidR="008E5C58" w:rsidRPr="0088704C">
        <w:rPr>
          <w:color w:val="auto"/>
        </w:rPr>
        <w:t>NantOmics</w:t>
      </w:r>
      <w:proofErr w:type="spellEnd"/>
      <w:r w:rsidR="008E5C58" w:rsidRPr="0088704C">
        <w:rPr>
          <w:color w:val="auto"/>
        </w:rPr>
        <w:t xml:space="preserve"> </w:t>
      </w:r>
      <w:proofErr w:type="spellStart"/>
      <w:r w:rsidR="008E5C58" w:rsidRPr="0088704C">
        <w:rPr>
          <w:color w:val="auto"/>
        </w:rPr>
        <w:t>Contraster</w:t>
      </w:r>
      <w:proofErr w:type="spellEnd"/>
      <w:r w:rsidR="008E5C58" w:rsidRPr="0088704C">
        <w:rPr>
          <w:color w:val="auto"/>
        </w:rPr>
        <w:t xml:space="preserve"> analysis (</w:t>
      </w:r>
      <w:proofErr w:type="spellStart"/>
      <w:r w:rsidR="008E5C58" w:rsidRPr="0088704C">
        <w:rPr>
          <w:color w:val="auto"/>
        </w:rPr>
        <w:t>proprietory</w:t>
      </w:r>
      <w:proofErr w:type="spellEnd"/>
      <w:r w:rsidR="008E5C58" w:rsidRPr="0088704C">
        <w:rPr>
          <w:color w:val="auto"/>
        </w:rPr>
        <w:t xml:space="preserve">) pipeline was used for somatic and germline SNV, insertions and deletions, and identify amplified regions of the tumor genome. Small variants were annotated with base-level </w:t>
      </w:r>
      <w:proofErr w:type="spellStart"/>
      <w:r w:rsidR="008E5C58" w:rsidRPr="0088704C">
        <w:rPr>
          <w:color w:val="auto"/>
        </w:rPr>
        <w:t>PhastCons</w:t>
      </w:r>
      <w:proofErr w:type="spellEnd"/>
      <w:r w:rsidR="008E5C58" w:rsidRPr="0088704C">
        <w:rPr>
          <w:color w:val="auto"/>
        </w:rPr>
        <w:t xml:space="preserve"> conservation scores, population allele frequencies from </w:t>
      </w:r>
      <w:proofErr w:type="spellStart"/>
      <w:r w:rsidR="008E5C58" w:rsidRPr="0088704C">
        <w:rPr>
          <w:color w:val="auto"/>
        </w:rPr>
        <w:t>dbSNP</w:t>
      </w:r>
      <w:proofErr w:type="spellEnd"/>
      <w:r w:rsidR="008E5C58" w:rsidRPr="0088704C">
        <w:rPr>
          <w:color w:val="auto"/>
        </w:rPr>
        <w:t xml:space="preserve"> (build 142)</w:t>
      </w:r>
      <w:r w:rsidR="00BF5766" w:rsidRPr="0088704C">
        <w:rPr>
          <w:color w:val="auto"/>
        </w:rPr>
        <w:t xml:space="preserve"> </w:t>
      </w:r>
      <w:r w:rsidR="008E5C58" w:rsidRPr="0088704C">
        <w:rPr>
          <w:color w:val="auto"/>
        </w:rPr>
        <w:t>(</w:t>
      </w:r>
      <w:r w:rsidR="00BF5766" w:rsidRPr="0088704C">
        <w:rPr>
          <w:color w:val="auto"/>
        </w:rPr>
        <w:t>https://www.ncbi.nlm.nih.gov/projects/SNP/</w:t>
      </w:r>
      <w:r w:rsidR="008E5C58" w:rsidRPr="0088704C">
        <w:rPr>
          <w:color w:val="auto"/>
        </w:rPr>
        <w:t>)</w:t>
      </w:r>
      <w:r w:rsidR="00BF5766" w:rsidRPr="0088704C">
        <w:rPr>
          <w:color w:val="auto"/>
        </w:rPr>
        <w:t>.</w:t>
      </w:r>
    </w:p>
    <w:p w14:paraId="44362985" w14:textId="522430C5" w:rsidR="004D3EA5" w:rsidRPr="0088704C" w:rsidRDefault="005812C2" w:rsidP="005321C4">
      <w:pPr>
        <w:pStyle w:val="MDPI31text"/>
        <w:rPr>
          <w:color w:val="auto"/>
        </w:rPr>
      </w:pPr>
      <w:r w:rsidRPr="0088704C">
        <w:rPr>
          <w:color w:val="auto"/>
        </w:rPr>
        <w:t xml:space="preserve">Each small variant predicted to alter the protein sequence of a gene is further analyzed by a proprietary de novo assembly algorithm that realigns all reads surrounding the variant from both tumor and matched-normal samples to increase confidence that the detected somatic or germline variant is real. </w:t>
      </w:r>
      <w:r w:rsidR="00374E35" w:rsidRPr="0088704C">
        <w:rPr>
          <w:color w:val="auto"/>
        </w:rPr>
        <w:t xml:space="preserve">Variants counts from DNA were calculated form </w:t>
      </w:r>
      <w:r w:rsidR="008E5C58" w:rsidRPr="0088704C">
        <w:rPr>
          <w:color w:val="auto"/>
        </w:rPr>
        <w:t>Variant Call Format (</w:t>
      </w:r>
      <w:r w:rsidR="00374E35" w:rsidRPr="0088704C">
        <w:rPr>
          <w:color w:val="auto"/>
        </w:rPr>
        <w:t>VCF</w:t>
      </w:r>
      <w:r w:rsidR="008E5C58" w:rsidRPr="0088704C">
        <w:rPr>
          <w:color w:val="auto"/>
        </w:rPr>
        <w:t>)</w:t>
      </w:r>
      <w:r w:rsidR="00374E35" w:rsidRPr="0088704C">
        <w:rPr>
          <w:color w:val="auto"/>
        </w:rPr>
        <w:t xml:space="preserve"> generated files by the bioinformatics pipeline. The true germline and somatic status variable was determined from </w:t>
      </w:r>
      <w:proofErr w:type="spellStart"/>
      <w:r w:rsidR="00374E35" w:rsidRPr="0088704C">
        <w:rPr>
          <w:color w:val="auto"/>
        </w:rPr>
        <w:t>NantOmics</w:t>
      </w:r>
      <w:proofErr w:type="spellEnd"/>
      <w:r w:rsidR="00374E35" w:rsidRPr="0088704C">
        <w:rPr>
          <w:color w:val="auto"/>
        </w:rPr>
        <w:t xml:space="preserve"> </w:t>
      </w:r>
      <w:proofErr w:type="spellStart"/>
      <w:r w:rsidR="00374E35" w:rsidRPr="0088704C">
        <w:rPr>
          <w:color w:val="auto"/>
        </w:rPr>
        <w:t>Contraster</w:t>
      </w:r>
      <w:proofErr w:type="spellEnd"/>
      <w:r w:rsidR="00374E35" w:rsidRPr="0088704C">
        <w:rPr>
          <w:color w:val="auto"/>
        </w:rPr>
        <w:t xml:space="preserve"> analysis of tumor and normal DNA sequence data and subsequently used to stratify variant counts. Variables used for variant filtering were downloaded from the </w:t>
      </w:r>
      <w:proofErr w:type="spellStart"/>
      <w:r w:rsidR="00374E35" w:rsidRPr="0088704C">
        <w:rPr>
          <w:color w:val="auto"/>
        </w:rPr>
        <w:t>dbSNP</w:t>
      </w:r>
      <w:proofErr w:type="spellEnd"/>
      <w:r w:rsidR="00374E35" w:rsidRPr="0088704C">
        <w:rPr>
          <w:color w:val="auto"/>
        </w:rPr>
        <w:t xml:space="preserve"> public database (https://www.ncbi.nlm.nih.gov/projects/SNP/).</w:t>
      </w:r>
    </w:p>
    <w:p w14:paraId="02C1F666" w14:textId="322770DF" w:rsidR="00E41CE4" w:rsidRPr="0088704C" w:rsidRDefault="00E838A9" w:rsidP="005321C4">
      <w:pPr>
        <w:pStyle w:val="MDPI22heading2"/>
        <w:rPr>
          <w:noProof w:val="0"/>
          <w:color w:val="auto"/>
        </w:rPr>
      </w:pPr>
      <w:r w:rsidRPr="0088704C">
        <w:rPr>
          <w:noProof w:val="0"/>
          <w:color w:val="auto"/>
        </w:rPr>
        <w:t xml:space="preserve">Tissue </w:t>
      </w:r>
      <w:r w:rsidR="00B14463" w:rsidRPr="0088704C">
        <w:rPr>
          <w:noProof w:val="0"/>
          <w:color w:val="auto"/>
        </w:rPr>
        <w:t xml:space="preserve">Whole –Exome Sequencing </w:t>
      </w:r>
    </w:p>
    <w:p w14:paraId="315F4339" w14:textId="2EF24E3E" w:rsidR="00E838A9" w:rsidRPr="0088704C" w:rsidRDefault="00E838A9" w:rsidP="005321C4">
      <w:pPr>
        <w:pStyle w:val="MDPI22heading2"/>
        <w:rPr>
          <w:noProof w:val="0"/>
          <w:color w:val="auto"/>
        </w:rPr>
      </w:pPr>
      <w:r w:rsidRPr="0088704C">
        <w:rPr>
          <w:noProof w:val="0"/>
          <w:color w:val="auto"/>
        </w:rPr>
        <w:t xml:space="preserve">Tempus Platform </w:t>
      </w:r>
    </w:p>
    <w:p w14:paraId="38B11593" w14:textId="0ED76397" w:rsidR="00E41CE4" w:rsidRPr="0088704C" w:rsidRDefault="00E41CE4" w:rsidP="005321C4">
      <w:pPr>
        <w:pStyle w:val="MDPI31text"/>
        <w:rPr>
          <w:color w:val="auto"/>
        </w:rPr>
      </w:pPr>
      <w:r w:rsidRPr="0088704C">
        <w:rPr>
          <w:color w:val="auto"/>
        </w:rPr>
        <w:t xml:space="preserve">FFPE tumor samples </w:t>
      </w:r>
      <w:r w:rsidR="00142748" w:rsidRPr="0088704C">
        <w:rPr>
          <w:color w:val="auto"/>
        </w:rPr>
        <w:t>(</w:t>
      </w:r>
      <w:r w:rsidR="00142748" w:rsidRPr="0088704C">
        <w:rPr>
          <w:i/>
          <w:color w:val="auto"/>
        </w:rPr>
        <w:t>n</w:t>
      </w:r>
      <w:r w:rsidR="00142748" w:rsidRPr="0088704C">
        <w:rPr>
          <w:color w:val="auto"/>
        </w:rPr>
        <w:t xml:space="preserve"> = 15) </w:t>
      </w:r>
      <w:r w:rsidRPr="0088704C">
        <w:rPr>
          <w:color w:val="auto"/>
        </w:rPr>
        <w:t>sent</w:t>
      </w:r>
      <w:r w:rsidR="00C01486" w:rsidRPr="0088704C">
        <w:rPr>
          <w:color w:val="auto"/>
        </w:rPr>
        <w:t xml:space="preserve"> </w:t>
      </w:r>
      <w:r w:rsidRPr="0088704C">
        <w:rPr>
          <w:color w:val="auto"/>
        </w:rPr>
        <w:t>to Tempus for whole exome sequencing</w:t>
      </w:r>
      <w:r w:rsidR="001357DE" w:rsidRPr="0088704C">
        <w:rPr>
          <w:color w:val="auto"/>
        </w:rPr>
        <w:t xml:space="preserve"> were reviewed by</w:t>
      </w:r>
      <w:r w:rsidRPr="0088704C">
        <w:rPr>
          <w:color w:val="auto"/>
        </w:rPr>
        <w:t xml:space="preserve"> </w:t>
      </w:r>
      <w:r w:rsidR="001357DE" w:rsidRPr="0088704C">
        <w:rPr>
          <w:color w:val="auto"/>
        </w:rPr>
        <w:t>e</w:t>
      </w:r>
      <w:r w:rsidRPr="0088704C">
        <w:rPr>
          <w:color w:val="auto"/>
        </w:rPr>
        <w:t xml:space="preserve">xpert pathologist assessment of overall tumor content and percent tumor cellularity as a ratio of tumor to normal nuclei verified specimens met a 40% threshold. Whole exome sequencing </w:t>
      </w:r>
      <w:proofErr w:type="gramStart"/>
      <w:r w:rsidRPr="0088704C">
        <w:rPr>
          <w:color w:val="auto"/>
        </w:rPr>
        <w:t>were</w:t>
      </w:r>
      <w:proofErr w:type="gramEnd"/>
      <w:r w:rsidRPr="0088704C">
        <w:rPr>
          <w:color w:val="auto"/>
        </w:rPr>
        <w:t xml:space="preserve"> performed similarly as previously described </w:t>
      </w:r>
      <w:bookmarkStart w:id="3" w:name="EXISTREF4"/>
      <w:r w:rsidR="0034584D" w:rsidRPr="0088704C">
        <w:rPr>
          <w:color w:val="auto"/>
        </w:rPr>
        <w:t>[</w:t>
      </w:r>
      <w:r w:rsidR="00BF5766" w:rsidRPr="0088704C">
        <w:rPr>
          <w:color w:val="auto"/>
        </w:rPr>
        <w:t>4</w:t>
      </w:r>
      <w:r w:rsidR="0034584D" w:rsidRPr="0088704C">
        <w:rPr>
          <w:color w:val="auto"/>
        </w:rPr>
        <w:t>]</w:t>
      </w:r>
      <w:bookmarkEnd w:id="3"/>
      <w:r w:rsidR="005450D9" w:rsidRPr="0088704C">
        <w:rPr>
          <w:color w:val="auto"/>
        </w:rPr>
        <w:t>.</w:t>
      </w:r>
      <w:r w:rsidRPr="0088704C">
        <w:rPr>
          <w:color w:val="auto"/>
        </w:rPr>
        <w:t xml:space="preserve"> The amplified target</w:t>
      </w:r>
      <w:r w:rsidR="00755C76" w:rsidRPr="0088704C">
        <w:rPr>
          <w:color w:val="auto"/>
        </w:rPr>
        <w:t xml:space="preserve">-captured DNA tumor library was </w:t>
      </w:r>
      <w:r w:rsidRPr="0088704C">
        <w:rPr>
          <w:color w:val="auto"/>
        </w:rPr>
        <w:t>sequenced using 2</w:t>
      </w:r>
      <w:r w:rsidR="006B45D7" w:rsidRPr="0088704C">
        <w:rPr>
          <w:color w:val="auto"/>
        </w:rPr>
        <w:t xml:space="preserve"> × </w:t>
      </w:r>
      <w:r w:rsidRPr="0088704C">
        <w:rPr>
          <w:color w:val="auto"/>
        </w:rPr>
        <w:t>126</w:t>
      </w:r>
      <w:r w:rsidR="006B45D7" w:rsidRPr="0088704C">
        <w:rPr>
          <w:color w:val="auto"/>
        </w:rPr>
        <w:t xml:space="preserve"> </w:t>
      </w:r>
      <w:r w:rsidRPr="0088704C">
        <w:rPr>
          <w:color w:val="auto"/>
        </w:rPr>
        <w:t>bp PE reads to an average unique on-target depth of 150</w:t>
      </w:r>
      <w:r w:rsidR="006B45D7" w:rsidRPr="0088704C">
        <w:rPr>
          <w:color w:val="auto"/>
        </w:rPr>
        <w:t>×</w:t>
      </w:r>
      <w:r w:rsidRPr="0088704C">
        <w:rPr>
          <w:color w:val="auto"/>
        </w:rPr>
        <w:t xml:space="preserve"> on an Illumina </w:t>
      </w:r>
      <w:proofErr w:type="spellStart"/>
      <w:r w:rsidRPr="0088704C">
        <w:rPr>
          <w:color w:val="auto"/>
        </w:rPr>
        <w:t>NovaSeq</w:t>
      </w:r>
      <w:proofErr w:type="spellEnd"/>
      <w:r w:rsidRPr="0088704C">
        <w:rPr>
          <w:color w:val="auto"/>
        </w:rPr>
        <w:t xml:space="preserve">. </w:t>
      </w:r>
    </w:p>
    <w:p w14:paraId="1AE1C56F" w14:textId="5E9D62E1" w:rsidR="00B14463" w:rsidRPr="0088704C" w:rsidRDefault="00E41CE4" w:rsidP="005321C4">
      <w:pPr>
        <w:pStyle w:val="MDPI31text"/>
        <w:rPr>
          <w:color w:val="auto"/>
        </w:rPr>
      </w:pPr>
      <w:r w:rsidRPr="0088704C">
        <w:rPr>
          <w:color w:val="auto"/>
        </w:rPr>
        <w:t xml:space="preserve">Variant detection, visualization and reporting were performed as previously described </w:t>
      </w:r>
      <w:r w:rsidR="0034584D" w:rsidRPr="0088704C">
        <w:rPr>
          <w:color w:val="auto"/>
        </w:rPr>
        <w:t>[</w:t>
      </w:r>
      <w:r w:rsidR="00BF5766" w:rsidRPr="0088704C">
        <w:rPr>
          <w:color w:val="auto"/>
        </w:rPr>
        <w:t>4</w:t>
      </w:r>
      <w:r w:rsidR="0034584D" w:rsidRPr="0088704C">
        <w:rPr>
          <w:color w:val="auto"/>
        </w:rPr>
        <w:t>]</w:t>
      </w:r>
      <w:r w:rsidR="00755C76" w:rsidRPr="0088704C">
        <w:rPr>
          <w:color w:val="auto"/>
        </w:rPr>
        <w:t>. DNA sequencing was aligned to GRCh37 BWA</w:t>
      </w:r>
      <w:r w:rsidR="00BF5766" w:rsidRPr="0088704C">
        <w:rPr>
          <w:color w:val="auto"/>
        </w:rPr>
        <w:t xml:space="preserve"> </w:t>
      </w:r>
      <w:r w:rsidR="0034584D" w:rsidRPr="0088704C">
        <w:rPr>
          <w:color w:val="auto"/>
        </w:rPr>
        <w:t>[</w:t>
      </w:r>
      <w:r w:rsidR="00BF5766" w:rsidRPr="0088704C">
        <w:rPr>
          <w:color w:val="auto"/>
        </w:rPr>
        <w:t>2</w:t>
      </w:r>
      <w:r w:rsidR="0034584D" w:rsidRPr="0088704C">
        <w:rPr>
          <w:color w:val="auto"/>
        </w:rPr>
        <w:t>]</w:t>
      </w:r>
      <w:r w:rsidR="00BF5766" w:rsidRPr="0088704C">
        <w:rPr>
          <w:color w:val="auto"/>
        </w:rPr>
        <w:t>.</w:t>
      </w:r>
      <w:r w:rsidR="00B14463" w:rsidRPr="0088704C">
        <w:rPr>
          <w:color w:val="auto"/>
        </w:rPr>
        <w:t xml:space="preserve"> Duplicate reads were with </w:t>
      </w:r>
      <w:proofErr w:type="spellStart"/>
      <w:r w:rsidR="00B14463" w:rsidRPr="0088704C">
        <w:rPr>
          <w:color w:val="auto"/>
        </w:rPr>
        <w:t>SAMBlaster</w:t>
      </w:r>
      <w:proofErr w:type="spellEnd"/>
      <w:r w:rsidR="00B14463" w:rsidRPr="0088704C">
        <w:rPr>
          <w:color w:val="auto"/>
        </w:rPr>
        <w:t xml:space="preserve"> </w:t>
      </w:r>
      <w:r w:rsidR="0034584D" w:rsidRPr="0088704C">
        <w:rPr>
          <w:color w:val="auto"/>
        </w:rPr>
        <w:t>[</w:t>
      </w:r>
      <w:r w:rsidR="00BF5766" w:rsidRPr="0088704C">
        <w:rPr>
          <w:color w:val="auto"/>
        </w:rPr>
        <w:t>3</w:t>
      </w:r>
      <w:r w:rsidR="0034584D" w:rsidRPr="0088704C">
        <w:rPr>
          <w:color w:val="auto"/>
        </w:rPr>
        <w:t>]</w:t>
      </w:r>
      <w:r w:rsidR="00BF5766" w:rsidRPr="0088704C">
        <w:rPr>
          <w:color w:val="auto"/>
        </w:rPr>
        <w:t>.</w:t>
      </w:r>
      <w:r w:rsidR="00B14463" w:rsidRPr="0088704C">
        <w:rPr>
          <w:color w:val="auto"/>
        </w:rPr>
        <w:t xml:space="preserve"> Discordant reads were identified and separated. </w:t>
      </w:r>
      <w:r w:rsidR="00E3131B" w:rsidRPr="0088704C">
        <w:rPr>
          <w:color w:val="auto"/>
        </w:rPr>
        <w:t>Following alignment and sorting, SNVs were called. VCF file generated from the variant calling pipeline were processed for computation of read depth and variation in heterozygous germline SNVs between the tumor and normal samples.</w:t>
      </w:r>
      <w:r w:rsidR="0034584D" w:rsidRPr="0088704C">
        <w:rPr>
          <w:color w:val="auto"/>
        </w:rPr>
        <w:t xml:space="preserve"> </w:t>
      </w:r>
      <w:r w:rsidR="00B14463" w:rsidRPr="0088704C">
        <w:rPr>
          <w:color w:val="auto"/>
        </w:rPr>
        <w:t xml:space="preserve">In </w:t>
      </w:r>
      <w:r w:rsidR="00B14463" w:rsidRPr="0088704C">
        <w:rPr>
          <w:color w:val="auto"/>
        </w:rPr>
        <w:lastRenderedPageBreak/>
        <w:t>addition to SNPEFF</w:t>
      </w:r>
      <w:r w:rsidR="0034584D" w:rsidRPr="0088704C">
        <w:rPr>
          <w:color w:val="auto"/>
        </w:rPr>
        <w:t xml:space="preserve"> </w:t>
      </w:r>
      <w:r w:rsidR="00B14463" w:rsidRPr="0088704C">
        <w:rPr>
          <w:color w:val="auto"/>
        </w:rPr>
        <w:t xml:space="preserve">algorithm </w:t>
      </w:r>
      <w:bookmarkStart w:id="4" w:name="EXISTREF5"/>
      <w:r w:rsidR="0034584D" w:rsidRPr="0088704C">
        <w:rPr>
          <w:color w:val="auto"/>
        </w:rPr>
        <w:t>[</w:t>
      </w:r>
      <w:r w:rsidR="004C753E" w:rsidRPr="0088704C">
        <w:rPr>
          <w:color w:val="auto"/>
        </w:rPr>
        <w:t>5</w:t>
      </w:r>
      <w:r w:rsidR="0034584D" w:rsidRPr="0088704C">
        <w:rPr>
          <w:color w:val="auto"/>
        </w:rPr>
        <w:t>]</w:t>
      </w:r>
      <w:bookmarkEnd w:id="4"/>
      <w:r w:rsidR="004C753E" w:rsidRPr="0088704C">
        <w:rPr>
          <w:color w:val="auto"/>
        </w:rPr>
        <w:t>,</w:t>
      </w:r>
      <w:r w:rsidR="00B14463" w:rsidRPr="0088704C">
        <w:rPr>
          <w:color w:val="auto"/>
        </w:rPr>
        <w:t xml:space="preserve"> Variant annotations was carried out using multiple criteria including evolutionary models, functional data, clinical data and in</w:t>
      </w:r>
      <w:r w:rsidR="004C753E" w:rsidRPr="0088704C">
        <w:rPr>
          <w:color w:val="auto"/>
        </w:rPr>
        <w:t>-</w:t>
      </w:r>
      <w:r w:rsidR="00B14463" w:rsidRPr="0088704C">
        <w:rPr>
          <w:color w:val="auto"/>
        </w:rPr>
        <w:t xml:space="preserve">depth literature search. </w:t>
      </w:r>
      <w:r w:rsidR="00E3131B" w:rsidRPr="0088704C">
        <w:rPr>
          <w:color w:val="auto"/>
        </w:rPr>
        <w:t>Circular binary segmentation was used for CNV analysis</w:t>
      </w:r>
      <w:r w:rsidR="004C753E" w:rsidRPr="0088704C">
        <w:rPr>
          <w:color w:val="auto"/>
        </w:rPr>
        <w:t xml:space="preserve"> </w:t>
      </w:r>
      <w:bookmarkStart w:id="5" w:name="EXISTREF6"/>
      <w:r w:rsidR="0034584D" w:rsidRPr="0088704C">
        <w:rPr>
          <w:color w:val="auto"/>
        </w:rPr>
        <w:t>[</w:t>
      </w:r>
      <w:r w:rsidR="004C753E" w:rsidRPr="0088704C">
        <w:rPr>
          <w:color w:val="auto"/>
        </w:rPr>
        <w:t>6</w:t>
      </w:r>
      <w:r w:rsidR="0034584D" w:rsidRPr="0088704C">
        <w:rPr>
          <w:color w:val="auto"/>
        </w:rPr>
        <w:t>]</w:t>
      </w:r>
      <w:bookmarkEnd w:id="5"/>
      <w:r w:rsidR="004C753E" w:rsidRPr="0088704C">
        <w:rPr>
          <w:color w:val="auto"/>
        </w:rPr>
        <w:t xml:space="preserve">. </w:t>
      </w:r>
      <w:r w:rsidR="00B14463" w:rsidRPr="0088704C">
        <w:rPr>
          <w:color w:val="auto"/>
        </w:rPr>
        <w:t xml:space="preserve">Tempus calculated Tumor mutation burden </w:t>
      </w:r>
      <w:r w:rsidR="00E3131B" w:rsidRPr="0088704C">
        <w:rPr>
          <w:color w:val="auto"/>
        </w:rPr>
        <w:t>by dividing non-synonymous mutations by the megabase size of the exome panel.</w:t>
      </w:r>
    </w:p>
    <w:p w14:paraId="703297F8" w14:textId="22A3B9B8" w:rsidR="00177D52" w:rsidRPr="0088704C" w:rsidRDefault="00230D3B" w:rsidP="005321C4">
      <w:pPr>
        <w:pStyle w:val="MDPI22heading2"/>
        <w:rPr>
          <w:noProof w:val="0"/>
          <w:color w:val="auto"/>
        </w:rPr>
      </w:pPr>
      <w:r w:rsidRPr="0088704C">
        <w:rPr>
          <w:noProof w:val="0"/>
          <w:color w:val="auto"/>
        </w:rPr>
        <w:t>Circulating Tumor DNA analysis (ctDNA)</w:t>
      </w:r>
    </w:p>
    <w:p w14:paraId="1E8CF70E" w14:textId="2FB07DC9" w:rsidR="00230D3B" w:rsidRPr="0088704C" w:rsidRDefault="00230D3B" w:rsidP="005321C4">
      <w:pPr>
        <w:pStyle w:val="MDPI22heading2"/>
        <w:rPr>
          <w:noProof w:val="0"/>
          <w:color w:val="auto"/>
        </w:rPr>
      </w:pPr>
      <w:r w:rsidRPr="0088704C">
        <w:rPr>
          <w:noProof w:val="0"/>
          <w:color w:val="auto"/>
        </w:rPr>
        <w:t>Circulogene Platform</w:t>
      </w:r>
    </w:p>
    <w:p w14:paraId="106FC4E3" w14:textId="5484C330" w:rsidR="00735663" w:rsidRPr="0088704C" w:rsidRDefault="008E3A0F" w:rsidP="005321C4">
      <w:pPr>
        <w:pStyle w:val="MDPI31text"/>
        <w:rPr>
          <w:color w:val="auto"/>
        </w:rPr>
      </w:pPr>
      <w:r w:rsidRPr="0088704C">
        <w:rPr>
          <w:color w:val="auto"/>
        </w:rPr>
        <w:t>Blood samples (</w:t>
      </w:r>
      <w:r w:rsidRPr="0088704C">
        <w:rPr>
          <w:i/>
          <w:color w:val="auto"/>
        </w:rPr>
        <w:t>n</w:t>
      </w:r>
      <w:r w:rsidRPr="0088704C">
        <w:rPr>
          <w:color w:val="auto"/>
        </w:rPr>
        <w:t xml:space="preserve"> = </w:t>
      </w:r>
      <w:r w:rsidR="00C01486" w:rsidRPr="0088704C">
        <w:rPr>
          <w:color w:val="auto"/>
        </w:rPr>
        <w:t>14</w:t>
      </w:r>
      <w:r w:rsidRPr="0088704C">
        <w:rPr>
          <w:color w:val="auto"/>
        </w:rPr>
        <w:t xml:space="preserve">) were sent in EDTA-containing tubes as per Circulogene protocol. </w:t>
      </w:r>
      <w:r w:rsidR="008C7051" w:rsidRPr="0088704C">
        <w:rPr>
          <w:color w:val="auto"/>
        </w:rPr>
        <w:t xml:space="preserve">Further analysis </w:t>
      </w:r>
      <w:proofErr w:type="gramStart"/>
      <w:r w:rsidR="008C7051" w:rsidRPr="0088704C">
        <w:rPr>
          <w:color w:val="auto"/>
        </w:rPr>
        <w:t>were</w:t>
      </w:r>
      <w:proofErr w:type="gramEnd"/>
      <w:r w:rsidR="008C7051" w:rsidRPr="0088704C">
        <w:rPr>
          <w:color w:val="auto"/>
        </w:rPr>
        <w:t xml:space="preserve"> carried out as</w:t>
      </w:r>
      <w:r w:rsidR="0034584D" w:rsidRPr="0088704C">
        <w:rPr>
          <w:color w:val="auto"/>
        </w:rPr>
        <w:t xml:space="preserve"> </w:t>
      </w:r>
      <w:r w:rsidR="008C7051" w:rsidRPr="0088704C">
        <w:rPr>
          <w:color w:val="auto"/>
        </w:rPr>
        <w:t xml:space="preserve">described previously the Circulogene team </w:t>
      </w:r>
      <w:bookmarkStart w:id="6" w:name="EXISTREF7"/>
      <w:r w:rsidR="0034584D" w:rsidRPr="0088704C">
        <w:rPr>
          <w:color w:val="auto"/>
        </w:rPr>
        <w:t>[</w:t>
      </w:r>
      <w:r w:rsidR="00142748" w:rsidRPr="0088704C">
        <w:rPr>
          <w:color w:val="auto"/>
        </w:rPr>
        <w:t>7</w:t>
      </w:r>
      <w:r w:rsidR="0034584D" w:rsidRPr="0088704C">
        <w:rPr>
          <w:color w:val="auto"/>
        </w:rPr>
        <w:t>]</w:t>
      </w:r>
      <w:bookmarkEnd w:id="6"/>
      <w:r w:rsidR="00142748" w:rsidRPr="0088704C">
        <w:rPr>
          <w:color w:val="auto"/>
        </w:rPr>
        <w:t xml:space="preserve">. </w:t>
      </w:r>
      <w:r w:rsidR="008C7051" w:rsidRPr="0088704C">
        <w:rPr>
          <w:color w:val="auto"/>
        </w:rPr>
        <w:t xml:space="preserve">Briefly, </w:t>
      </w:r>
      <w:proofErr w:type="spellStart"/>
      <w:r w:rsidRPr="0088704C">
        <w:rPr>
          <w:color w:val="auto"/>
        </w:rPr>
        <w:t>Ciculating</w:t>
      </w:r>
      <w:proofErr w:type="spellEnd"/>
      <w:r w:rsidRPr="0088704C">
        <w:rPr>
          <w:color w:val="auto"/>
        </w:rPr>
        <w:t xml:space="preserve"> cell free DNA was isolated from plasma samples using </w:t>
      </w:r>
      <w:proofErr w:type="spellStart"/>
      <w:r w:rsidRPr="0088704C">
        <w:rPr>
          <w:color w:val="auto"/>
        </w:rPr>
        <w:t>CirculoGene’s</w:t>
      </w:r>
      <w:proofErr w:type="spellEnd"/>
      <w:r w:rsidRPr="0088704C">
        <w:rPr>
          <w:color w:val="auto"/>
        </w:rPr>
        <w:t xml:space="preserve"> proprietary </w:t>
      </w:r>
      <w:proofErr w:type="spellStart"/>
      <w:r w:rsidRPr="0088704C">
        <w:rPr>
          <w:color w:val="auto"/>
        </w:rPr>
        <w:t>cfDNA</w:t>
      </w:r>
      <w:proofErr w:type="spellEnd"/>
      <w:r w:rsidRPr="0088704C">
        <w:rPr>
          <w:color w:val="auto"/>
        </w:rPr>
        <w:t xml:space="preserve"> enrichment</w:t>
      </w:r>
      <w:r w:rsidR="00142748" w:rsidRPr="0088704C">
        <w:rPr>
          <w:color w:val="auto"/>
        </w:rPr>
        <w:t xml:space="preserve"> </w:t>
      </w:r>
      <w:r w:rsidRPr="0088704C">
        <w:rPr>
          <w:color w:val="auto"/>
        </w:rPr>
        <w:t>and</w:t>
      </w:r>
      <w:r w:rsidR="00142748" w:rsidRPr="0088704C">
        <w:rPr>
          <w:color w:val="auto"/>
        </w:rPr>
        <w:t xml:space="preserve"> </w:t>
      </w:r>
      <w:r w:rsidRPr="0088704C">
        <w:rPr>
          <w:color w:val="auto"/>
        </w:rPr>
        <w:t>recovery platform</w:t>
      </w:r>
      <w:r w:rsidR="00142748" w:rsidRPr="0088704C">
        <w:rPr>
          <w:color w:val="auto"/>
        </w:rPr>
        <w:t xml:space="preserve"> </w:t>
      </w:r>
      <w:r w:rsidR="008C7051" w:rsidRPr="0088704C">
        <w:rPr>
          <w:color w:val="auto"/>
        </w:rPr>
        <w:t>(CGT)</w:t>
      </w:r>
      <w:r w:rsidRPr="0088704C">
        <w:rPr>
          <w:color w:val="auto"/>
        </w:rPr>
        <w:t xml:space="preserve">. </w:t>
      </w:r>
      <w:r w:rsidR="007B33CC" w:rsidRPr="0088704C">
        <w:rPr>
          <w:color w:val="auto"/>
        </w:rPr>
        <w:t>Each sample was analyzed for the entire 50-gene panel</w:t>
      </w:r>
      <w:r w:rsidR="00142748" w:rsidRPr="0088704C">
        <w:rPr>
          <w:color w:val="auto"/>
        </w:rPr>
        <w:t>;</w:t>
      </w:r>
      <w:r w:rsidR="007B33CC" w:rsidRPr="0088704C">
        <w:rPr>
          <w:color w:val="auto"/>
        </w:rPr>
        <w:t xml:space="preserve"> interrogating about 2,800 mutations.</w:t>
      </w:r>
      <w:r w:rsidR="008C7051" w:rsidRPr="0088704C">
        <w:rPr>
          <w:color w:val="auto"/>
        </w:rPr>
        <w:t xml:space="preserve"> Ultradeep sequencing (3000</w:t>
      </w:r>
      <w:r w:rsidR="006B45D7" w:rsidRPr="0088704C">
        <w:rPr>
          <w:color w:val="auto"/>
        </w:rPr>
        <w:t>×–</w:t>
      </w:r>
      <w:r w:rsidR="008C7051" w:rsidRPr="0088704C">
        <w:rPr>
          <w:color w:val="auto"/>
        </w:rPr>
        <w:t>8000</w:t>
      </w:r>
      <w:r w:rsidR="006B45D7" w:rsidRPr="0088704C">
        <w:rPr>
          <w:color w:val="auto"/>
        </w:rPr>
        <w:t>×</w:t>
      </w:r>
      <w:r w:rsidR="008C7051" w:rsidRPr="0088704C">
        <w:rPr>
          <w:color w:val="auto"/>
        </w:rPr>
        <w:t>)</w:t>
      </w:r>
      <w:r w:rsidR="00142748" w:rsidRPr="0088704C">
        <w:rPr>
          <w:color w:val="auto"/>
        </w:rPr>
        <w:t xml:space="preserve"> </w:t>
      </w:r>
      <w:r w:rsidR="008C7051" w:rsidRPr="0088704C">
        <w:rPr>
          <w:color w:val="auto"/>
        </w:rPr>
        <w:t xml:space="preserve">was performed using Ion Torrent </w:t>
      </w:r>
      <w:r w:rsidR="00142748" w:rsidRPr="0088704C">
        <w:rPr>
          <w:color w:val="auto"/>
        </w:rPr>
        <w:t>Next Generation Sequencing</w:t>
      </w:r>
      <w:r w:rsidR="008C7051" w:rsidRPr="0088704C">
        <w:rPr>
          <w:color w:val="auto"/>
        </w:rPr>
        <w:t xml:space="preserve">. The vendor used Ion </w:t>
      </w:r>
      <w:proofErr w:type="spellStart"/>
      <w:r w:rsidR="008C7051" w:rsidRPr="0088704C">
        <w:rPr>
          <w:color w:val="auto"/>
        </w:rPr>
        <w:t>AmpliSeq</w:t>
      </w:r>
      <w:proofErr w:type="spellEnd"/>
      <w:r w:rsidR="008C7051" w:rsidRPr="0088704C">
        <w:rPr>
          <w:color w:val="auto"/>
        </w:rPr>
        <w:t xml:space="preserve"> Library kit 2.0 and Cancer Hotspot Panel v2 to generate targeted sequencing libraries. </w:t>
      </w:r>
      <w:proofErr w:type="spellStart"/>
      <w:r w:rsidR="008C7051" w:rsidRPr="0088704C">
        <w:rPr>
          <w:color w:val="auto"/>
        </w:rPr>
        <w:t>VariantCaller</w:t>
      </w:r>
      <w:proofErr w:type="spellEnd"/>
      <w:r w:rsidR="008C7051" w:rsidRPr="0088704C">
        <w:rPr>
          <w:color w:val="auto"/>
        </w:rPr>
        <w:t xml:space="preserve"> 4.2 with high stringency parameters was used for somatic mutation calls. All somatic variants underwent second conformation using </w:t>
      </w:r>
      <w:proofErr w:type="spellStart"/>
      <w:r w:rsidR="008C7051" w:rsidRPr="0088704C">
        <w:rPr>
          <w:color w:val="auto"/>
        </w:rPr>
        <w:t>GenePool</w:t>
      </w:r>
      <w:proofErr w:type="spellEnd"/>
      <w:r w:rsidR="00142748" w:rsidRPr="0088704C">
        <w:rPr>
          <w:color w:val="auto"/>
        </w:rPr>
        <w:t xml:space="preserve"> </w:t>
      </w:r>
      <w:r w:rsidR="008C7051" w:rsidRPr="0088704C">
        <w:rPr>
          <w:color w:val="auto"/>
        </w:rPr>
        <w:t>(Station -X)</w:t>
      </w:r>
      <w:r w:rsidR="0099547B" w:rsidRPr="0088704C">
        <w:rPr>
          <w:color w:val="auto"/>
        </w:rPr>
        <w:t>. Publicly available databases</w:t>
      </w:r>
      <w:r w:rsidR="00142748" w:rsidRPr="0088704C">
        <w:rPr>
          <w:color w:val="auto"/>
        </w:rPr>
        <w:t xml:space="preserve"> </w:t>
      </w:r>
      <w:r w:rsidR="0099547B" w:rsidRPr="0088704C">
        <w:rPr>
          <w:color w:val="auto"/>
        </w:rPr>
        <w:t>COSMIC</w:t>
      </w:r>
      <w:r w:rsidR="00142748" w:rsidRPr="0088704C">
        <w:rPr>
          <w:color w:val="auto"/>
        </w:rPr>
        <w:t xml:space="preserve"> </w:t>
      </w:r>
      <w:bookmarkStart w:id="7" w:name="EXISTREF8"/>
      <w:r w:rsidR="0034584D" w:rsidRPr="0088704C">
        <w:rPr>
          <w:color w:val="auto"/>
        </w:rPr>
        <w:t>[</w:t>
      </w:r>
      <w:r w:rsidR="00142748" w:rsidRPr="0088704C">
        <w:rPr>
          <w:color w:val="auto"/>
        </w:rPr>
        <w:t>8</w:t>
      </w:r>
      <w:r w:rsidR="0034584D" w:rsidRPr="0088704C">
        <w:rPr>
          <w:color w:val="auto"/>
        </w:rPr>
        <w:t>]</w:t>
      </w:r>
      <w:bookmarkEnd w:id="7"/>
      <w:r w:rsidR="005A5DC9" w:rsidRPr="0088704C">
        <w:rPr>
          <w:color w:val="auto"/>
        </w:rPr>
        <w:t>,</w:t>
      </w:r>
      <w:r w:rsidR="0099547B" w:rsidRPr="0088704C">
        <w:rPr>
          <w:color w:val="auto"/>
        </w:rPr>
        <w:t xml:space="preserve"> </w:t>
      </w:r>
      <w:proofErr w:type="spellStart"/>
      <w:r w:rsidR="0099547B" w:rsidRPr="0088704C">
        <w:rPr>
          <w:color w:val="auto"/>
        </w:rPr>
        <w:t>EXac</w:t>
      </w:r>
      <w:proofErr w:type="spellEnd"/>
      <w:r w:rsidR="00142748" w:rsidRPr="0088704C">
        <w:rPr>
          <w:color w:val="auto"/>
        </w:rPr>
        <w:t xml:space="preserve"> </w:t>
      </w:r>
      <w:bookmarkStart w:id="8" w:name="EXISTREF9"/>
      <w:r w:rsidR="0034584D" w:rsidRPr="0088704C">
        <w:rPr>
          <w:color w:val="auto"/>
        </w:rPr>
        <w:t>[</w:t>
      </w:r>
      <w:r w:rsidR="005A5DC9" w:rsidRPr="0088704C">
        <w:rPr>
          <w:color w:val="auto"/>
        </w:rPr>
        <w:t>9</w:t>
      </w:r>
      <w:r w:rsidR="0034584D" w:rsidRPr="0088704C">
        <w:rPr>
          <w:color w:val="auto"/>
        </w:rPr>
        <w:t>]</w:t>
      </w:r>
      <w:bookmarkEnd w:id="8"/>
      <w:r w:rsidR="0099547B" w:rsidRPr="0088704C">
        <w:rPr>
          <w:color w:val="auto"/>
        </w:rPr>
        <w:t xml:space="preserve"> 1000 genome</w:t>
      </w:r>
      <w:r w:rsidR="005A5DC9" w:rsidRPr="0088704C">
        <w:rPr>
          <w:color w:val="auto"/>
        </w:rPr>
        <w:t xml:space="preserve"> </w:t>
      </w:r>
      <w:bookmarkStart w:id="9" w:name="EXISTREF10"/>
      <w:r w:rsidR="0034584D" w:rsidRPr="0088704C">
        <w:rPr>
          <w:color w:val="auto"/>
        </w:rPr>
        <w:t>[</w:t>
      </w:r>
      <w:r w:rsidR="005A5DC9" w:rsidRPr="0088704C">
        <w:rPr>
          <w:color w:val="auto"/>
        </w:rPr>
        <w:t>10</w:t>
      </w:r>
      <w:r w:rsidR="0034584D" w:rsidRPr="0088704C">
        <w:rPr>
          <w:color w:val="auto"/>
        </w:rPr>
        <w:t>]</w:t>
      </w:r>
      <w:bookmarkEnd w:id="9"/>
      <w:r w:rsidR="005A5DC9" w:rsidRPr="0088704C">
        <w:rPr>
          <w:color w:val="auto"/>
        </w:rPr>
        <w:t>,</w:t>
      </w:r>
      <w:r w:rsidR="0099547B" w:rsidRPr="0088704C">
        <w:rPr>
          <w:color w:val="auto"/>
        </w:rPr>
        <w:t xml:space="preserve"> </w:t>
      </w:r>
      <w:proofErr w:type="spellStart"/>
      <w:r w:rsidR="0099547B" w:rsidRPr="0088704C">
        <w:rPr>
          <w:color w:val="auto"/>
        </w:rPr>
        <w:t>dbGAP</w:t>
      </w:r>
      <w:proofErr w:type="spellEnd"/>
      <w:r w:rsidR="005A5DC9" w:rsidRPr="0088704C">
        <w:rPr>
          <w:color w:val="auto"/>
        </w:rPr>
        <w:t xml:space="preserve"> (</w:t>
      </w:r>
      <w:r w:rsidR="005A5DC9" w:rsidRPr="0088704C">
        <w:rPr>
          <w:color w:val="auto"/>
          <w:shd w:val="clear" w:color="auto" w:fill="FFFFFF"/>
        </w:rPr>
        <w:t>https://www.ncbi.nlm.nih.gov/gap</w:t>
      </w:r>
      <w:r w:rsidR="005A5DC9" w:rsidRPr="0088704C">
        <w:rPr>
          <w:color w:val="auto"/>
        </w:rPr>
        <w:t>)</w:t>
      </w:r>
      <w:r w:rsidR="0099547B" w:rsidRPr="0088704C">
        <w:rPr>
          <w:color w:val="auto"/>
        </w:rPr>
        <w:t xml:space="preserve"> and </w:t>
      </w:r>
      <w:proofErr w:type="spellStart"/>
      <w:r w:rsidR="0099547B" w:rsidRPr="0088704C">
        <w:rPr>
          <w:color w:val="auto"/>
        </w:rPr>
        <w:t>GNOMaD</w:t>
      </w:r>
      <w:proofErr w:type="spellEnd"/>
      <w:r w:rsidR="00142748" w:rsidRPr="0088704C">
        <w:rPr>
          <w:color w:val="auto"/>
        </w:rPr>
        <w:t xml:space="preserve"> </w:t>
      </w:r>
      <w:bookmarkStart w:id="10" w:name="EXISTREF11"/>
      <w:r w:rsidR="0034584D" w:rsidRPr="0088704C">
        <w:rPr>
          <w:color w:val="auto"/>
        </w:rPr>
        <w:t>[</w:t>
      </w:r>
      <w:r w:rsidR="00F31A4E" w:rsidRPr="0088704C">
        <w:rPr>
          <w:color w:val="auto"/>
        </w:rPr>
        <w:t>11</w:t>
      </w:r>
      <w:r w:rsidR="0034584D" w:rsidRPr="0088704C">
        <w:rPr>
          <w:color w:val="auto"/>
        </w:rPr>
        <w:t>]</w:t>
      </w:r>
      <w:bookmarkEnd w:id="10"/>
      <w:r w:rsidR="0099547B" w:rsidRPr="0088704C">
        <w:rPr>
          <w:color w:val="auto"/>
        </w:rPr>
        <w:t xml:space="preserve"> was used as a filtering criteria. In addition, stringent quality score was employed. The quality score threshold to report a variant was 10, and any mutation allele frequency under 1% was removed for the results.</w:t>
      </w:r>
    </w:p>
    <w:p w14:paraId="70267013" w14:textId="1D753F6F" w:rsidR="00E3131B" w:rsidRPr="0088704C" w:rsidRDefault="00E838A9" w:rsidP="005321C4">
      <w:pPr>
        <w:pStyle w:val="MDPI22heading2"/>
        <w:rPr>
          <w:noProof w:val="0"/>
          <w:color w:val="auto"/>
        </w:rPr>
      </w:pPr>
      <w:r w:rsidRPr="0088704C">
        <w:rPr>
          <w:noProof w:val="0"/>
          <w:color w:val="auto"/>
        </w:rPr>
        <w:t>Guardant Health Platform</w:t>
      </w:r>
    </w:p>
    <w:p w14:paraId="4F6A5C04" w14:textId="62C16D9A" w:rsidR="001C4D55" w:rsidRPr="0088704C" w:rsidRDefault="00E3131B" w:rsidP="005321C4">
      <w:pPr>
        <w:pStyle w:val="MDPI31text"/>
        <w:rPr>
          <w:color w:val="auto"/>
        </w:rPr>
      </w:pPr>
      <w:r w:rsidRPr="0088704C">
        <w:rPr>
          <w:color w:val="auto"/>
        </w:rPr>
        <w:t>Blood samples were sent to Guardant health (</w:t>
      </w:r>
      <w:r w:rsidRPr="0088704C">
        <w:rPr>
          <w:i/>
          <w:color w:val="auto"/>
        </w:rPr>
        <w:t>n</w:t>
      </w:r>
      <w:r w:rsidRPr="0088704C">
        <w:rPr>
          <w:color w:val="auto"/>
        </w:rPr>
        <w:t xml:space="preserve"> = </w:t>
      </w:r>
      <w:r w:rsidR="005450D9" w:rsidRPr="0088704C">
        <w:rPr>
          <w:color w:val="auto"/>
        </w:rPr>
        <w:t>49</w:t>
      </w:r>
      <w:r w:rsidRPr="0088704C">
        <w:rPr>
          <w:color w:val="auto"/>
        </w:rPr>
        <w:t>).</w:t>
      </w:r>
      <w:r w:rsidR="0034584D" w:rsidRPr="0088704C">
        <w:rPr>
          <w:color w:val="auto"/>
        </w:rPr>
        <w:t xml:space="preserve"> </w:t>
      </w:r>
      <w:r w:rsidR="001C4D55" w:rsidRPr="0088704C">
        <w:rPr>
          <w:color w:val="auto"/>
        </w:rPr>
        <w:t xml:space="preserve">Blood samples were sent in </w:t>
      </w:r>
      <w:proofErr w:type="spellStart"/>
      <w:r w:rsidR="001C4D55" w:rsidRPr="0088704C">
        <w:rPr>
          <w:color w:val="auto"/>
        </w:rPr>
        <w:t>Streck</w:t>
      </w:r>
      <w:proofErr w:type="spellEnd"/>
      <w:r w:rsidR="001C4D55" w:rsidRPr="0088704C">
        <w:rPr>
          <w:color w:val="auto"/>
        </w:rPr>
        <w:t xml:space="preserve"> tubes as per Guardant protocol. ctDNA was collected from these samples and about 30 ng of ctDNA was prepared for next generation sequencing as previously described. The assay clinical sensitivity was reported to be 80.7%, specificity 99.7%, and diagnostic accuracy 99.3%</w:t>
      </w:r>
      <w:r w:rsidR="00F31A4E" w:rsidRPr="0088704C">
        <w:rPr>
          <w:color w:val="auto"/>
        </w:rPr>
        <w:t xml:space="preserve"> </w:t>
      </w:r>
      <w:bookmarkStart w:id="11" w:name="EXISTREF12"/>
      <w:r w:rsidR="0034584D" w:rsidRPr="0088704C">
        <w:rPr>
          <w:color w:val="auto"/>
        </w:rPr>
        <w:t>[</w:t>
      </w:r>
      <w:r w:rsidR="00F31A4E" w:rsidRPr="0088704C">
        <w:rPr>
          <w:color w:val="auto"/>
        </w:rPr>
        <w:t>12</w:t>
      </w:r>
      <w:r w:rsidR="0034584D" w:rsidRPr="0088704C">
        <w:rPr>
          <w:color w:val="auto"/>
        </w:rPr>
        <w:t>]</w:t>
      </w:r>
      <w:bookmarkEnd w:id="11"/>
      <w:r w:rsidR="001C4D55" w:rsidRPr="0088704C">
        <w:rPr>
          <w:color w:val="auto"/>
        </w:rPr>
        <w:t xml:space="preserve">. </w:t>
      </w:r>
    </w:p>
    <w:p w14:paraId="45268DC0" w14:textId="01D5A59F" w:rsidR="00DA12BA" w:rsidRPr="0088704C" w:rsidRDefault="001C4D55" w:rsidP="005321C4">
      <w:pPr>
        <w:pStyle w:val="MDPI31text"/>
        <w:rPr>
          <w:color w:val="auto"/>
        </w:rPr>
      </w:pPr>
      <w:r w:rsidRPr="0088704C">
        <w:rPr>
          <w:color w:val="auto"/>
        </w:rPr>
        <w:t xml:space="preserve">Briefly, </w:t>
      </w:r>
      <w:r w:rsidR="00F31A4E" w:rsidRPr="0088704C">
        <w:rPr>
          <w:color w:val="auto"/>
        </w:rPr>
        <w:t>s</w:t>
      </w:r>
      <w:r w:rsidRPr="0088704C">
        <w:rPr>
          <w:color w:val="auto"/>
        </w:rPr>
        <w:t>oftware utilized include</w:t>
      </w:r>
      <w:r w:rsidR="00F31A4E" w:rsidRPr="0088704C">
        <w:rPr>
          <w:color w:val="auto"/>
        </w:rPr>
        <w:t>:</w:t>
      </w:r>
      <w:r w:rsidRPr="0088704C">
        <w:rPr>
          <w:color w:val="auto"/>
        </w:rPr>
        <w:t xml:space="preserve"> CASAVA (version 1.8.4), the open source BWA-MEM aligner, and a custom read pile-up process that utilizes information encoded by digital-sequencing oligonucleotides to reconstruct the set of unique </w:t>
      </w:r>
      <w:proofErr w:type="spellStart"/>
      <w:r w:rsidRPr="0088704C">
        <w:rPr>
          <w:color w:val="auto"/>
        </w:rPr>
        <w:t>cfDNA</w:t>
      </w:r>
      <w:proofErr w:type="spellEnd"/>
      <w:r w:rsidRPr="0088704C">
        <w:rPr>
          <w:color w:val="auto"/>
        </w:rPr>
        <w:t xml:space="preserve"> molecules</w:t>
      </w:r>
      <w:r w:rsidR="00F31A4E" w:rsidRPr="0088704C">
        <w:rPr>
          <w:color w:val="auto"/>
        </w:rPr>
        <w:t xml:space="preserve"> </w:t>
      </w:r>
      <w:r w:rsidR="0034584D" w:rsidRPr="0088704C">
        <w:rPr>
          <w:color w:val="auto"/>
        </w:rPr>
        <w:t>[</w:t>
      </w:r>
      <w:r w:rsidR="00F31A4E" w:rsidRPr="0088704C">
        <w:rPr>
          <w:color w:val="auto"/>
        </w:rPr>
        <w:t>12</w:t>
      </w:r>
      <w:r w:rsidR="0034584D" w:rsidRPr="0088704C">
        <w:rPr>
          <w:color w:val="auto"/>
        </w:rPr>
        <w:t>]</w:t>
      </w:r>
      <w:r w:rsidRPr="0088704C">
        <w:rPr>
          <w:color w:val="auto"/>
        </w:rPr>
        <w:t>. Custom scripts are then used to (a) remove spurious variants (“noise”) created by sequencing errors, (b) identify all germline single nucleotide polymorphisms (SNPs) and somatic single nucleotide variants (SNVs), and (c) call somatic SNVs, while removing erroneous variants resulting from sequencing errors, DNA damage, strand bias, etc. Germline alterations were not reported by the Guardant</w:t>
      </w:r>
      <w:r w:rsidR="00F31A4E" w:rsidRPr="0088704C">
        <w:rPr>
          <w:color w:val="auto"/>
        </w:rPr>
        <w:t xml:space="preserve"> H</w:t>
      </w:r>
      <w:r w:rsidRPr="0088704C">
        <w:rPr>
          <w:color w:val="auto"/>
        </w:rPr>
        <w:t xml:space="preserve">ealth </w:t>
      </w:r>
      <w:r w:rsidR="00F31A4E" w:rsidRPr="0088704C">
        <w:rPr>
          <w:color w:val="auto"/>
        </w:rPr>
        <w:t xml:space="preserve">platform </w:t>
      </w:r>
      <w:r w:rsidRPr="0088704C">
        <w:rPr>
          <w:color w:val="auto"/>
        </w:rPr>
        <w:t>in their clinical reports.</w:t>
      </w:r>
      <w:r w:rsidR="0034584D" w:rsidRPr="0088704C">
        <w:rPr>
          <w:color w:val="auto"/>
        </w:rPr>
        <w:t xml:space="preserve"> </w:t>
      </w:r>
      <w:r w:rsidRPr="0088704C">
        <w:rPr>
          <w:color w:val="auto"/>
        </w:rPr>
        <w:t xml:space="preserve">Copy number alterations are reported as 1+, 2+, 3+ and greater than 4+. </w:t>
      </w:r>
    </w:p>
    <w:p w14:paraId="696A57CD" w14:textId="77777777" w:rsidR="00DA12BA" w:rsidRPr="0088704C" w:rsidRDefault="00DA12BA" w:rsidP="005321C4">
      <w:pPr>
        <w:adjustRightInd w:val="0"/>
        <w:snapToGrid w:val="0"/>
        <w:rPr>
          <w:rFonts w:ascii="Palatino Linotype" w:eastAsia="Times New Roman" w:hAnsi="Palatino Linotype" w:cs="Times New Roman"/>
          <w:snapToGrid w:val="0"/>
          <w:sz w:val="20"/>
          <w:szCs w:val="22"/>
          <w:lang w:eastAsia="de-DE" w:bidi="en-US"/>
        </w:rPr>
      </w:pPr>
      <w:r w:rsidRPr="0088704C">
        <w:br w:type="page"/>
      </w:r>
    </w:p>
    <w:p w14:paraId="4F71FE63" w14:textId="1DDF5FC5" w:rsidR="007E7307" w:rsidRPr="0088704C" w:rsidRDefault="007E7307" w:rsidP="005321C4">
      <w:pPr>
        <w:pStyle w:val="MDPI21heading1"/>
        <w:rPr>
          <w:color w:val="auto"/>
        </w:rPr>
      </w:pPr>
      <w:r w:rsidRPr="0088704C">
        <w:rPr>
          <w:color w:val="auto"/>
        </w:rPr>
        <w:lastRenderedPageBreak/>
        <w:t>Supplemental Figure S1</w:t>
      </w:r>
    </w:p>
    <w:p w14:paraId="032DA81D" w14:textId="77777777" w:rsidR="006B45D7" w:rsidRPr="0088704C" w:rsidRDefault="006B45D7" w:rsidP="005321C4">
      <w:pPr>
        <w:adjustRightInd w:val="0"/>
        <w:snapToGrid w:val="0"/>
        <w:jc w:val="both"/>
        <w:rPr>
          <w:rFonts w:ascii="Palatino Linotype" w:hAnsi="Palatino Linotype"/>
          <w:lang w:eastAsia="zh-CN"/>
        </w:rPr>
      </w:pPr>
    </w:p>
    <w:p w14:paraId="225D36D0" w14:textId="6AF9909C" w:rsidR="00DA12BA" w:rsidRPr="0088704C" w:rsidRDefault="007E7307" w:rsidP="005321C4">
      <w:pPr>
        <w:adjustRightInd w:val="0"/>
        <w:snapToGrid w:val="0"/>
        <w:jc w:val="both"/>
        <w:rPr>
          <w:rFonts w:ascii="Palatino Linotype" w:hAnsi="Palatino Linotype"/>
        </w:rPr>
      </w:pPr>
      <w:r w:rsidRPr="0088704C">
        <w:rPr>
          <w:rFonts w:ascii="Palatino Linotype" w:hAnsi="Palatino Linotype"/>
          <w:noProof/>
        </w:rPr>
        <w:drawing>
          <wp:inline distT="0" distB="0" distL="0" distR="0" wp14:anchorId="0B6C61A3" wp14:editId="140A5207">
            <wp:extent cx="5569527" cy="433621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emental Figure S1.png"/>
                    <pic:cNvPicPr/>
                  </pic:nvPicPr>
                  <pic:blipFill rotWithShape="1">
                    <a:blip r:embed="rId8" cstate="print">
                      <a:extLst>
                        <a:ext uri="{28A0092B-C50C-407E-A947-70E740481C1C}">
                          <a14:useLocalDpi xmlns:a14="http://schemas.microsoft.com/office/drawing/2010/main" val="0"/>
                        </a:ext>
                      </a:extLst>
                    </a:blip>
                    <a:srcRect l="3264" r="3025" b="10285"/>
                    <a:stretch/>
                  </pic:blipFill>
                  <pic:spPr bwMode="auto">
                    <a:xfrm>
                      <a:off x="0" y="0"/>
                      <a:ext cx="5569860" cy="4336472"/>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5487F31" w14:textId="0AC86F91" w:rsidR="006B45D7" w:rsidRPr="0088704C" w:rsidRDefault="006B45D7" w:rsidP="005321C4">
      <w:pPr>
        <w:pStyle w:val="MDPI51figurecaption"/>
        <w:rPr>
          <w:color w:val="auto"/>
        </w:rPr>
      </w:pPr>
      <w:r w:rsidRPr="0088704C">
        <w:rPr>
          <w:b/>
          <w:color w:val="auto"/>
        </w:rPr>
        <w:t xml:space="preserve">Figure S1. </w:t>
      </w:r>
      <w:r w:rsidRPr="0088704C">
        <w:rPr>
          <w:color w:val="auto"/>
        </w:rPr>
        <w:t xml:space="preserve">Scatter plots showing the relationship between tissue tumor mutation burden (TMB, </w:t>
      </w:r>
      <w:proofErr w:type="spellStart"/>
      <w:r w:rsidRPr="0088704C">
        <w:rPr>
          <w:color w:val="auto"/>
        </w:rPr>
        <w:t>mut</w:t>
      </w:r>
      <w:proofErr w:type="spellEnd"/>
      <w:r w:rsidRPr="0088704C">
        <w:rPr>
          <w:color w:val="auto"/>
        </w:rPr>
        <w:t>/mb) and the number of ctDNA mutations. TMB positively correlated with the number of ctDNA mutations only in breast cancer patients</w:t>
      </w:r>
      <w:r w:rsidRPr="0088704C">
        <w:rPr>
          <w:rFonts w:hint="eastAsia"/>
          <w:color w:val="auto"/>
          <w:lang w:eastAsia="zh-CN"/>
        </w:rPr>
        <w:t>.</w:t>
      </w:r>
    </w:p>
    <w:p w14:paraId="00C575BA" w14:textId="77777777" w:rsidR="00DA12BA" w:rsidRPr="0088704C" w:rsidRDefault="00DA12BA" w:rsidP="005321C4">
      <w:pPr>
        <w:adjustRightInd w:val="0"/>
        <w:snapToGrid w:val="0"/>
        <w:rPr>
          <w:rFonts w:ascii="Palatino Linotype" w:hAnsi="Palatino Linotype"/>
        </w:rPr>
      </w:pPr>
      <w:r w:rsidRPr="0088704C">
        <w:rPr>
          <w:rFonts w:ascii="Palatino Linotype" w:hAnsi="Palatino Linotype"/>
        </w:rPr>
        <w:br w:type="page"/>
      </w:r>
    </w:p>
    <w:p w14:paraId="00BD9E89" w14:textId="588B3C06" w:rsidR="007E7307" w:rsidRPr="0088704C" w:rsidRDefault="007E7307" w:rsidP="005321C4">
      <w:pPr>
        <w:pStyle w:val="MDPI21heading1"/>
        <w:rPr>
          <w:color w:val="auto"/>
        </w:rPr>
      </w:pPr>
      <w:r w:rsidRPr="0088704C">
        <w:rPr>
          <w:color w:val="auto"/>
        </w:rPr>
        <w:lastRenderedPageBreak/>
        <w:t>Supplemental Figure S2</w:t>
      </w:r>
    </w:p>
    <w:p w14:paraId="708AA56B" w14:textId="400A3901" w:rsidR="00DA12BA" w:rsidRPr="0088704C" w:rsidRDefault="007223CC" w:rsidP="005321C4">
      <w:pPr>
        <w:adjustRightInd w:val="0"/>
        <w:snapToGrid w:val="0"/>
        <w:jc w:val="both"/>
        <w:rPr>
          <w:rFonts w:ascii="Palatino Linotype" w:hAnsi="Palatino Linotype"/>
        </w:rPr>
      </w:pPr>
      <w:r w:rsidRPr="0088704C">
        <w:rPr>
          <w:rFonts w:ascii="Palatino Linotype" w:hAnsi="Palatino Linotype"/>
          <w:noProof/>
        </w:rPr>
        <w:drawing>
          <wp:inline distT="0" distB="0" distL="0" distR="0" wp14:anchorId="6339BFEB" wp14:editId="65707BE2">
            <wp:extent cx="5617845" cy="31038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2.png"/>
                    <pic:cNvPicPr/>
                  </pic:nvPicPr>
                  <pic:blipFill>
                    <a:blip r:embed="rId9"/>
                    <a:stretch>
                      <a:fillRect/>
                    </a:stretch>
                  </pic:blipFill>
                  <pic:spPr>
                    <a:xfrm>
                      <a:off x="0" y="0"/>
                      <a:ext cx="5617845" cy="3103880"/>
                    </a:xfrm>
                    <a:prstGeom prst="rect">
                      <a:avLst/>
                    </a:prstGeom>
                  </pic:spPr>
                </pic:pic>
              </a:graphicData>
            </a:graphic>
          </wp:inline>
        </w:drawing>
      </w:r>
    </w:p>
    <w:p w14:paraId="0141274A" w14:textId="6CCCB3CC" w:rsidR="006B45D7" w:rsidRPr="0088704C" w:rsidRDefault="006B45D7" w:rsidP="005321C4">
      <w:pPr>
        <w:pStyle w:val="MDPI51figurecaption"/>
        <w:rPr>
          <w:color w:val="auto"/>
        </w:rPr>
      </w:pPr>
      <w:r w:rsidRPr="0088704C">
        <w:rPr>
          <w:b/>
          <w:color w:val="auto"/>
        </w:rPr>
        <w:t xml:space="preserve">Figure S2. </w:t>
      </w:r>
      <w:r w:rsidRPr="0088704C">
        <w:rPr>
          <w:color w:val="auto"/>
        </w:rPr>
        <w:t>Venn diagrams showing the number of discordant mutations (Tumor, ctDNA) and concordant mutations among: all mutations found, all driver alterations found, all hotspot alterations found, and all targetable alterations found.</w:t>
      </w:r>
    </w:p>
    <w:p w14:paraId="01A2A244" w14:textId="77777777" w:rsidR="00DA12BA" w:rsidRPr="0088704C" w:rsidRDefault="00DA12BA" w:rsidP="005321C4">
      <w:pPr>
        <w:adjustRightInd w:val="0"/>
        <w:snapToGrid w:val="0"/>
        <w:rPr>
          <w:rFonts w:ascii="Palatino Linotype" w:hAnsi="Palatino Linotype"/>
        </w:rPr>
      </w:pPr>
      <w:r w:rsidRPr="0088704C">
        <w:rPr>
          <w:rFonts w:ascii="Palatino Linotype" w:hAnsi="Palatino Linotype"/>
        </w:rPr>
        <w:br w:type="page"/>
      </w:r>
    </w:p>
    <w:p w14:paraId="7E2CBACF" w14:textId="52B42E02" w:rsidR="007E7307" w:rsidRPr="0088704C" w:rsidRDefault="007E7307" w:rsidP="005321C4">
      <w:pPr>
        <w:pStyle w:val="MDPI21heading1"/>
        <w:rPr>
          <w:color w:val="auto"/>
        </w:rPr>
      </w:pPr>
      <w:r w:rsidRPr="0088704C">
        <w:rPr>
          <w:color w:val="auto"/>
        </w:rPr>
        <w:lastRenderedPageBreak/>
        <w:t>Supplemental Figure S3</w:t>
      </w:r>
    </w:p>
    <w:p w14:paraId="7B81FD90" w14:textId="37BF864F" w:rsidR="007E7307" w:rsidRPr="0088704C" w:rsidRDefault="007223CC" w:rsidP="005321C4">
      <w:pPr>
        <w:adjustRightInd w:val="0"/>
        <w:snapToGrid w:val="0"/>
        <w:jc w:val="both"/>
        <w:rPr>
          <w:rFonts w:ascii="Palatino Linotype" w:hAnsi="Palatino Linotype"/>
        </w:rPr>
      </w:pPr>
      <w:r w:rsidRPr="0088704C">
        <w:rPr>
          <w:rFonts w:ascii="Palatino Linotype" w:hAnsi="Palatino Linotype"/>
          <w:noProof/>
        </w:rPr>
        <w:drawing>
          <wp:inline distT="0" distB="0" distL="0" distR="0" wp14:anchorId="49905074" wp14:editId="078DFE2E">
            <wp:extent cx="5617845" cy="31515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S3A.png"/>
                    <pic:cNvPicPr/>
                  </pic:nvPicPr>
                  <pic:blipFill>
                    <a:blip r:embed="rId10"/>
                    <a:stretch>
                      <a:fillRect/>
                    </a:stretch>
                  </pic:blipFill>
                  <pic:spPr>
                    <a:xfrm>
                      <a:off x="0" y="0"/>
                      <a:ext cx="5617845" cy="3151505"/>
                    </a:xfrm>
                    <a:prstGeom prst="rect">
                      <a:avLst/>
                    </a:prstGeom>
                  </pic:spPr>
                </pic:pic>
              </a:graphicData>
            </a:graphic>
          </wp:inline>
        </w:drawing>
      </w:r>
    </w:p>
    <w:p w14:paraId="76102EDC" w14:textId="1E23B05B" w:rsidR="00DA12BA" w:rsidRPr="0088704C" w:rsidRDefault="007223CC" w:rsidP="005321C4">
      <w:pPr>
        <w:adjustRightInd w:val="0"/>
        <w:snapToGrid w:val="0"/>
        <w:jc w:val="both"/>
        <w:rPr>
          <w:rFonts w:ascii="Palatino Linotype" w:hAnsi="Palatino Linotype"/>
        </w:rPr>
      </w:pPr>
      <w:r w:rsidRPr="0088704C">
        <w:rPr>
          <w:rFonts w:ascii="Palatino Linotype" w:hAnsi="Palatino Linotype"/>
          <w:noProof/>
        </w:rPr>
        <w:drawing>
          <wp:inline distT="0" distB="0" distL="0" distR="0" wp14:anchorId="5A3146D5" wp14:editId="1E136106">
            <wp:extent cx="5617845" cy="253809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S3B.png"/>
                    <pic:cNvPicPr/>
                  </pic:nvPicPr>
                  <pic:blipFill>
                    <a:blip r:embed="rId11"/>
                    <a:stretch>
                      <a:fillRect/>
                    </a:stretch>
                  </pic:blipFill>
                  <pic:spPr>
                    <a:xfrm>
                      <a:off x="0" y="0"/>
                      <a:ext cx="5617845" cy="2538095"/>
                    </a:xfrm>
                    <a:prstGeom prst="rect">
                      <a:avLst/>
                    </a:prstGeom>
                  </pic:spPr>
                </pic:pic>
              </a:graphicData>
            </a:graphic>
          </wp:inline>
        </w:drawing>
      </w:r>
    </w:p>
    <w:p w14:paraId="10D635EB" w14:textId="7FFFB17C" w:rsidR="006B45D7" w:rsidRPr="0088704C" w:rsidRDefault="006B45D7" w:rsidP="005321C4">
      <w:pPr>
        <w:pStyle w:val="MDPI51figurecaption"/>
        <w:rPr>
          <w:color w:val="auto"/>
        </w:rPr>
      </w:pPr>
      <w:bookmarkStart w:id="12" w:name="_Hlk19191904"/>
      <w:r w:rsidRPr="0088704C">
        <w:rPr>
          <w:b/>
          <w:color w:val="auto"/>
        </w:rPr>
        <w:t xml:space="preserve">Figure S3. </w:t>
      </w:r>
      <w:r w:rsidRPr="0088704C">
        <w:rPr>
          <w:color w:val="auto"/>
        </w:rPr>
        <w:t xml:space="preserve">Lollipop plots of </w:t>
      </w:r>
      <w:r w:rsidRPr="0088704C">
        <w:rPr>
          <w:i/>
          <w:color w:val="auto"/>
        </w:rPr>
        <w:t>TP53</w:t>
      </w:r>
      <w:r w:rsidRPr="0088704C">
        <w:rPr>
          <w:color w:val="auto"/>
        </w:rPr>
        <w:t xml:space="preserve"> hotspot mutations. Figure S3A: All </w:t>
      </w:r>
      <w:r w:rsidRPr="0088704C">
        <w:rPr>
          <w:i/>
          <w:color w:val="auto"/>
        </w:rPr>
        <w:t>TP53</w:t>
      </w:r>
      <w:r w:rsidRPr="0088704C">
        <w:rPr>
          <w:color w:val="auto"/>
        </w:rPr>
        <w:t xml:space="preserve"> hotspot mutations identified in our patients, Figure S3B: All concordant </w:t>
      </w:r>
      <w:r w:rsidRPr="0088704C">
        <w:rPr>
          <w:i/>
          <w:color w:val="auto"/>
        </w:rPr>
        <w:t>TP53</w:t>
      </w:r>
      <w:r w:rsidRPr="0088704C">
        <w:rPr>
          <w:color w:val="auto"/>
        </w:rPr>
        <w:t xml:space="preserve"> hotspot mutations. No significant consensus hotspot was identified, though they primarily occurred with the DNA binding domain of </w:t>
      </w:r>
      <w:r w:rsidRPr="0088704C">
        <w:rPr>
          <w:i/>
          <w:color w:val="auto"/>
        </w:rPr>
        <w:t>TP53</w:t>
      </w:r>
      <w:r w:rsidRPr="0088704C">
        <w:rPr>
          <w:color w:val="auto"/>
        </w:rPr>
        <w:t>.</w:t>
      </w:r>
      <w:bookmarkEnd w:id="12"/>
    </w:p>
    <w:p w14:paraId="36D300E7" w14:textId="77777777" w:rsidR="00DA12BA" w:rsidRPr="0088704C" w:rsidRDefault="00DA12BA" w:rsidP="005321C4">
      <w:pPr>
        <w:adjustRightInd w:val="0"/>
        <w:snapToGrid w:val="0"/>
        <w:rPr>
          <w:rFonts w:ascii="Palatino Linotype" w:hAnsi="Palatino Linotype"/>
        </w:rPr>
      </w:pPr>
      <w:r w:rsidRPr="0088704C">
        <w:rPr>
          <w:rFonts w:ascii="Palatino Linotype" w:hAnsi="Palatino Linotype"/>
        </w:rPr>
        <w:br w:type="page"/>
      </w:r>
    </w:p>
    <w:p w14:paraId="64508977" w14:textId="77777777" w:rsidR="0088704C" w:rsidRPr="0088704C" w:rsidRDefault="009E60AA" w:rsidP="005321C4">
      <w:pPr>
        <w:pStyle w:val="MDPI21heading1"/>
        <w:rPr>
          <w:color w:val="auto"/>
        </w:rPr>
      </w:pPr>
      <w:bookmarkStart w:id="13" w:name="_Hlk19193974"/>
      <w:r w:rsidRPr="0088704C">
        <w:rPr>
          <w:rFonts w:hint="eastAsia"/>
          <w:color w:val="auto"/>
        </w:rPr>
        <w:lastRenderedPageBreak/>
        <w:t>T</w:t>
      </w:r>
      <w:r w:rsidRPr="0088704C">
        <w:rPr>
          <w:color w:val="auto"/>
        </w:rPr>
        <w:t xml:space="preserve">able S1–S5 in a separately Excel </w:t>
      </w:r>
      <w:proofErr w:type="spellStart"/>
      <w:r w:rsidRPr="0088704C">
        <w:rPr>
          <w:color w:val="auto"/>
        </w:rPr>
        <w:t>file</w:t>
      </w:r>
      <w:bookmarkStart w:id="14" w:name="_Hlk19192039"/>
      <w:proofErr w:type="spellEnd"/>
    </w:p>
    <w:p w14:paraId="168FB5D7" w14:textId="00B67666" w:rsidR="00416A06" w:rsidRPr="0088704C" w:rsidRDefault="007E7307" w:rsidP="0088704C">
      <w:pPr>
        <w:pStyle w:val="MDPI21heading1"/>
        <w:rPr>
          <w:color w:val="auto"/>
        </w:rPr>
      </w:pPr>
      <w:commentRangeStart w:id="15"/>
      <w:r w:rsidRPr="0088704C">
        <w:rPr>
          <w:color w:val="auto"/>
        </w:rPr>
        <w:t>References</w:t>
      </w:r>
    </w:p>
    <w:p w14:paraId="1EE887AD"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proofErr w:type="spellStart"/>
      <w:r w:rsidRPr="0088704C">
        <w:rPr>
          <w:rFonts w:ascii="Palatino Linotype" w:hAnsi="Palatino Linotype" w:cs="Times New Roman"/>
          <w:sz w:val="18"/>
          <w:szCs w:val="18"/>
        </w:rPr>
        <w:t>Rabizadeh</w:t>
      </w:r>
      <w:bookmarkStart w:id="16" w:name="refTemp1"/>
      <w:bookmarkEnd w:id="16"/>
      <w:proofErr w:type="spellEnd"/>
      <w:r w:rsidRPr="0088704C">
        <w:rPr>
          <w:rFonts w:ascii="Palatino Linotype" w:hAnsi="Palatino Linotype" w:cs="Times New Roman"/>
          <w:sz w:val="18"/>
          <w:szCs w:val="18"/>
        </w:rPr>
        <w:t>, S.; Garner, C.; Sanborn, J.Z.; Benz, S.C.; Reddy, S.; Soon-</w:t>
      </w:r>
      <w:proofErr w:type="spellStart"/>
      <w:r w:rsidRPr="0088704C">
        <w:rPr>
          <w:rFonts w:ascii="Palatino Linotype" w:hAnsi="Palatino Linotype" w:cs="Times New Roman"/>
          <w:sz w:val="18"/>
          <w:szCs w:val="18"/>
        </w:rPr>
        <w:t>Shiong</w:t>
      </w:r>
      <w:proofErr w:type="spellEnd"/>
      <w:r w:rsidRPr="0088704C">
        <w:rPr>
          <w:rFonts w:ascii="Palatino Linotype" w:hAnsi="Palatino Linotype" w:cs="Times New Roman"/>
          <w:sz w:val="18"/>
          <w:szCs w:val="18"/>
        </w:rPr>
        <w:t xml:space="preserve">, P. Comprehensive genomic transcriptomic tumor-normal gene panel analysis for enhanced precision in patients with lung cancer. </w:t>
      </w:r>
      <w:proofErr w:type="spellStart"/>
      <w:r w:rsidRPr="0088704C">
        <w:rPr>
          <w:rFonts w:ascii="Palatino Linotype" w:hAnsi="Palatino Linotype" w:cs="Times New Roman"/>
          <w:i/>
          <w:sz w:val="18"/>
          <w:szCs w:val="18"/>
        </w:rPr>
        <w:t>Oncotarget</w:t>
      </w:r>
      <w:proofErr w:type="spellEnd"/>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 xml:space="preserve">2018, </w:t>
      </w:r>
      <w:r w:rsidRPr="0088704C">
        <w:rPr>
          <w:rFonts w:ascii="Palatino Linotype" w:hAnsi="Palatino Linotype" w:cs="Times New Roman"/>
          <w:i/>
          <w:sz w:val="18"/>
          <w:szCs w:val="18"/>
        </w:rPr>
        <w:t>9</w:t>
      </w:r>
      <w:r w:rsidRPr="0088704C">
        <w:rPr>
          <w:rFonts w:ascii="Palatino Linotype" w:hAnsi="Palatino Linotype" w:cs="Times New Roman"/>
          <w:sz w:val="18"/>
          <w:szCs w:val="18"/>
        </w:rPr>
        <w:t>, 19223–19232.</w:t>
      </w:r>
    </w:p>
    <w:p w14:paraId="59A9AD32"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r w:rsidRPr="0088704C">
        <w:rPr>
          <w:rFonts w:ascii="Palatino Linotype" w:hAnsi="Palatino Linotype" w:cs="Times New Roman"/>
          <w:sz w:val="18"/>
          <w:szCs w:val="18"/>
        </w:rPr>
        <w:t>Li</w:t>
      </w:r>
      <w:bookmarkStart w:id="17" w:name="refTemp2"/>
      <w:bookmarkEnd w:id="17"/>
      <w:r w:rsidRPr="0088704C">
        <w:rPr>
          <w:rFonts w:ascii="Palatino Linotype" w:hAnsi="Palatino Linotype" w:cs="Times New Roman"/>
          <w:sz w:val="18"/>
          <w:szCs w:val="18"/>
        </w:rPr>
        <w:t xml:space="preserve">, H.; Durbin, R. Fast and accurate short read alignment with Burrows-Wheeler transform. </w:t>
      </w:r>
      <w:r w:rsidRPr="0088704C">
        <w:rPr>
          <w:rFonts w:ascii="Palatino Linotype" w:hAnsi="Palatino Linotype" w:cs="Times New Roman"/>
          <w:i/>
          <w:sz w:val="18"/>
          <w:szCs w:val="18"/>
        </w:rPr>
        <w:t>Bioinformatics</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 xml:space="preserve">2009, </w:t>
      </w:r>
      <w:r w:rsidRPr="0088704C">
        <w:rPr>
          <w:rFonts w:ascii="Palatino Linotype" w:hAnsi="Palatino Linotype" w:cs="Times New Roman"/>
          <w:i/>
          <w:sz w:val="18"/>
          <w:szCs w:val="18"/>
        </w:rPr>
        <w:t xml:space="preserve">25, </w:t>
      </w:r>
      <w:r w:rsidRPr="0088704C">
        <w:rPr>
          <w:rFonts w:ascii="Palatino Linotype" w:hAnsi="Palatino Linotype" w:cs="Times New Roman"/>
          <w:sz w:val="18"/>
          <w:szCs w:val="18"/>
        </w:rPr>
        <w:t>1754–1760.</w:t>
      </w:r>
    </w:p>
    <w:p w14:paraId="5D663D97"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r w:rsidRPr="0088704C">
        <w:rPr>
          <w:rFonts w:ascii="Palatino Linotype" w:hAnsi="Palatino Linotype" w:cs="Times New Roman"/>
          <w:sz w:val="18"/>
          <w:szCs w:val="18"/>
        </w:rPr>
        <w:t>Faust</w:t>
      </w:r>
      <w:bookmarkStart w:id="18" w:name="refTemp3"/>
      <w:bookmarkEnd w:id="18"/>
      <w:r w:rsidRPr="0088704C">
        <w:rPr>
          <w:rFonts w:ascii="Palatino Linotype" w:hAnsi="Palatino Linotype" w:cs="Times New Roman"/>
          <w:sz w:val="18"/>
          <w:szCs w:val="18"/>
        </w:rPr>
        <w:t xml:space="preserve">, G.G.; Hall, I.M. SAMBLASTER: fast duplicate marking and structural variant read extraction. </w:t>
      </w:r>
      <w:r w:rsidRPr="0088704C">
        <w:rPr>
          <w:rFonts w:ascii="Palatino Linotype" w:hAnsi="Palatino Linotype" w:cs="Times New Roman"/>
          <w:i/>
          <w:sz w:val="18"/>
          <w:szCs w:val="18"/>
        </w:rPr>
        <w:t>Bioinformatics</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2014</w:t>
      </w:r>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 xml:space="preserve">30, </w:t>
      </w:r>
      <w:r w:rsidRPr="0088704C">
        <w:rPr>
          <w:rFonts w:ascii="Palatino Linotype" w:hAnsi="Palatino Linotype" w:cs="Times New Roman"/>
          <w:sz w:val="18"/>
          <w:szCs w:val="18"/>
        </w:rPr>
        <w:t>2503–2505.</w:t>
      </w:r>
    </w:p>
    <w:p w14:paraId="3655AF4F"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proofErr w:type="spellStart"/>
      <w:r w:rsidRPr="0088704C">
        <w:rPr>
          <w:rFonts w:ascii="Palatino Linotype" w:hAnsi="Palatino Linotype" w:cs="Times New Roman"/>
          <w:sz w:val="18"/>
          <w:szCs w:val="18"/>
        </w:rPr>
        <w:t>Beaubier</w:t>
      </w:r>
      <w:bookmarkStart w:id="19" w:name="refTemp4"/>
      <w:bookmarkEnd w:id="19"/>
      <w:proofErr w:type="spellEnd"/>
      <w:r w:rsidRPr="0088704C">
        <w:rPr>
          <w:rFonts w:ascii="Palatino Linotype" w:hAnsi="Palatino Linotype" w:cs="Times New Roman"/>
          <w:sz w:val="18"/>
          <w:szCs w:val="18"/>
        </w:rPr>
        <w:t xml:space="preserve">, N.; Tell, R.; Lau, D.; Parsons, J.R.; Bush, S.; </w:t>
      </w:r>
      <w:proofErr w:type="spellStart"/>
      <w:r w:rsidRPr="0088704C">
        <w:rPr>
          <w:rFonts w:ascii="Palatino Linotype" w:hAnsi="Palatino Linotype" w:cs="Times New Roman"/>
          <w:sz w:val="18"/>
          <w:szCs w:val="18"/>
        </w:rPr>
        <w:t>Perera</w:t>
      </w:r>
      <w:proofErr w:type="spellEnd"/>
      <w:r w:rsidRPr="0088704C">
        <w:rPr>
          <w:rFonts w:ascii="Palatino Linotype" w:hAnsi="Palatino Linotype" w:cs="Times New Roman"/>
          <w:sz w:val="18"/>
          <w:szCs w:val="18"/>
        </w:rPr>
        <w:t>, J.;</w:t>
      </w:r>
      <w:r w:rsidRPr="0088704C">
        <w:t xml:space="preserve"> </w:t>
      </w:r>
      <w:r w:rsidRPr="0088704C">
        <w:rPr>
          <w:rFonts w:ascii="Palatino Linotype" w:hAnsi="Palatino Linotype" w:cs="Times New Roman"/>
          <w:sz w:val="18"/>
          <w:szCs w:val="18"/>
        </w:rPr>
        <w:t xml:space="preserve">Sorrells, S.; Baker, T.; Chang, A.; </w:t>
      </w:r>
      <w:proofErr w:type="spellStart"/>
      <w:r w:rsidRPr="0088704C">
        <w:rPr>
          <w:rFonts w:ascii="Palatino Linotype" w:hAnsi="Palatino Linotype" w:cs="Times New Roman"/>
          <w:sz w:val="18"/>
          <w:szCs w:val="18"/>
        </w:rPr>
        <w:t>Michuda</w:t>
      </w:r>
      <w:proofErr w:type="spellEnd"/>
      <w:r w:rsidRPr="0088704C">
        <w:rPr>
          <w:rFonts w:ascii="Palatino Linotype" w:hAnsi="Palatino Linotype" w:cs="Times New Roman"/>
          <w:sz w:val="18"/>
          <w:szCs w:val="18"/>
        </w:rPr>
        <w:t xml:space="preserve">, J. et al. Clinical validation of the tempus </w:t>
      </w:r>
      <w:proofErr w:type="spellStart"/>
      <w:r w:rsidRPr="0088704C">
        <w:rPr>
          <w:rFonts w:ascii="Palatino Linotype" w:hAnsi="Palatino Linotype" w:cs="Times New Roman"/>
          <w:sz w:val="18"/>
          <w:szCs w:val="18"/>
        </w:rPr>
        <w:t>xT</w:t>
      </w:r>
      <w:proofErr w:type="spellEnd"/>
      <w:r w:rsidRPr="0088704C">
        <w:rPr>
          <w:rFonts w:ascii="Palatino Linotype" w:hAnsi="Palatino Linotype" w:cs="Times New Roman"/>
          <w:sz w:val="18"/>
          <w:szCs w:val="18"/>
        </w:rPr>
        <w:t xml:space="preserve"> next-generation targeted oncology sequencing assay. </w:t>
      </w:r>
      <w:proofErr w:type="spellStart"/>
      <w:r w:rsidRPr="0088704C">
        <w:rPr>
          <w:rFonts w:ascii="Palatino Linotype" w:hAnsi="Palatino Linotype" w:cs="Times New Roman"/>
          <w:i/>
          <w:sz w:val="18"/>
          <w:szCs w:val="18"/>
        </w:rPr>
        <w:t>Oncotarget</w:t>
      </w:r>
      <w:proofErr w:type="spellEnd"/>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2019</w:t>
      </w:r>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10</w:t>
      </w:r>
      <w:r w:rsidRPr="0088704C">
        <w:rPr>
          <w:rFonts w:ascii="Palatino Linotype" w:hAnsi="Palatino Linotype" w:cs="Times New Roman"/>
          <w:sz w:val="18"/>
          <w:szCs w:val="18"/>
        </w:rPr>
        <w:t>, 2384–2396.</w:t>
      </w:r>
      <w:bookmarkStart w:id="20" w:name="_GoBack"/>
      <w:bookmarkEnd w:id="20"/>
    </w:p>
    <w:p w14:paraId="1033414B"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proofErr w:type="spellStart"/>
      <w:r w:rsidRPr="0088704C">
        <w:rPr>
          <w:rFonts w:ascii="Palatino Linotype" w:hAnsi="Palatino Linotype" w:cs="Times New Roman"/>
          <w:sz w:val="18"/>
          <w:szCs w:val="18"/>
        </w:rPr>
        <w:t>Cingolani</w:t>
      </w:r>
      <w:bookmarkStart w:id="21" w:name="refTemp5"/>
      <w:bookmarkEnd w:id="21"/>
      <w:proofErr w:type="spellEnd"/>
      <w:r w:rsidRPr="0088704C">
        <w:rPr>
          <w:rFonts w:ascii="Palatino Linotype" w:hAnsi="Palatino Linotype" w:cs="Times New Roman"/>
          <w:sz w:val="18"/>
          <w:szCs w:val="18"/>
        </w:rPr>
        <w:t xml:space="preserve">, P.; Platts, A.; Wang, L.L.; Coon, M.; Nguyen, T.; Wang, L.; Land, S.J.; Lu, X.; </w:t>
      </w:r>
      <w:proofErr w:type="spellStart"/>
      <w:r w:rsidRPr="0088704C">
        <w:rPr>
          <w:rFonts w:ascii="Palatino Linotype" w:hAnsi="Palatino Linotype" w:cs="Times New Roman"/>
          <w:sz w:val="18"/>
          <w:szCs w:val="18"/>
        </w:rPr>
        <w:t>Ruden</w:t>
      </w:r>
      <w:proofErr w:type="spellEnd"/>
      <w:r w:rsidRPr="0088704C">
        <w:rPr>
          <w:rFonts w:ascii="Palatino Linotype" w:hAnsi="Palatino Linotype" w:cs="Times New Roman"/>
          <w:sz w:val="18"/>
          <w:szCs w:val="18"/>
        </w:rPr>
        <w:t xml:space="preserve">, D.M. A program for annotating and predicting the effects of single nucleotide polymorphisms, </w:t>
      </w:r>
      <w:proofErr w:type="spellStart"/>
      <w:r w:rsidRPr="0088704C">
        <w:rPr>
          <w:rFonts w:ascii="Palatino Linotype" w:hAnsi="Palatino Linotype" w:cs="Times New Roman"/>
          <w:sz w:val="18"/>
          <w:szCs w:val="18"/>
        </w:rPr>
        <w:t>SnpEff</w:t>
      </w:r>
      <w:proofErr w:type="spellEnd"/>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Fly</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2012</w:t>
      </w:r>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6</w:t>
      </w:r>
      <w:r w:rsidRPr="0088704C">
        <w:rPr>
          <w:rFonts w:ascii="Palatino Linotype" w:hAnsi="Palatino Linotype" w:cs="Times New Roman"/>
          <w:sz w:val="18"/>
          <w:szCs w:val="18"/>
        </w:rPr>
        <w:t>, 80–92.</w:t>
      </w:r>
    </w:p>
    <w:p w14:paraId="195C9AB0"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proofErr w:type="spellStart"/>
      <w:r w:rsidRPr="0088704C">
        <w:rPr>
          <w:rFonts w:ascii="Palatino Linotype" w:hAnsi="Palatino Linotype" w:cs="Times New Roman"/>
          <w:sz w:val="18"/>
          <w:szCs w:val="18"/>
        </w:rPr>
        <w:t>Olshen</w:t>
      </w:r>
      <w:bookmarkStart w:id="22" w:name="refTemp6"/>
      <w:bookmarkEnd w:id="22"/>
      <w:proofErr w:type="spellEnd"/>
      <w:r w:rsidRPr="0088704C">
        <w:rPr>
          <w:rFonts w:ascii="Palatino Linotype" w:hAnsi="Palatino Linotype" w:cs="Times New Roman"/>
          <w:sz w:val="18"/>
          <w:szCs w:val="18"/>
        </w:rPr>
        <w:t xml:space="preserve">, A.B.; Venkatraman, E.S.; </w:t>
      </w:r>
      <w:proofErr w:type="spellStart"/>
      <w:r w:rsidRPr="0088704C">
        <w:rPr>
          <w:rFonts w:ascii="Palatino Linotype" w:hAnsi="Palatino Linotype" w:cs="Times New Roman"/>
          <w:sz w:val="18"/>
          <w:szCs w:val="18"/>
        </w:rPr>
        <w:t>Lucito</w:t>
      </w:r>
      <w:proofErr w:type="spellEnd"/>
      <w:r w:rsidRPr="0088704C">
        <w:rPr>
          <w:rFonts w:ascii="Palatino Linotype" w:hAnsi="Palatino Linotype" w:cs="Times New Roman"/>
          <w:sz w:val="18"/>
          <w:szCs w:val="18"/>
        </w:rPr>
        <w:t xml:space="preserve">, R.; </w:t>
      </w:r>
      <w:proofErr w:type="spellStart"/>
      <w:r w:rsidRPr="0088704C">
        <w:rPr>
          <w:rFonts w:ascii="Palatino Linotype" w:hAnsi="Palatino Linotype" w:cs="Times New Roman"/>
          <w:sz w:val="18"/>
          <w:szCs w:val="18"/>
        </w:rPr>
        <w:t>Wigler</w:t>
      </w:r>
      <w:proofErr w:type="spellEnd"/>
      <w:r w:rsidRPr="0088704C">
        <w:rPr>
          <w:rFonts w:ascii="Palatino Linotype" w:hAnsi="Palatino Linotype" w:cs="Times New Roman"/>
          <w:sz w:val="18"/>
          <w:szCs w:val="18"/>
        </w:rPr>
        <w:t xml:space="preserve">, M. Circular binary segmentation for the analysis of array-based DNA copy number data. </w:t>
      </w:r>
      <w:r w:rsidRPr="0088704C">
        <w:rPr>
          <w:rFonts w:ascii="Palatino Linotype" w:hAnsi="Palatino Linotype" w:cs="Times New Roman"/>
          <w:i/>
          <w:sz w:val="18"/>
          <w:szCs w:val="18"/>
        </w:rPr>
        <w:t>Biostatistics</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2004</w:t>
      </w:r>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5</w:t>
      </w:r>
      <w:r w:rsidRPr="0088704C">
        <w:rPr>
          <w:rFonts w:ascii="Palatino Linotype" w:hAnsi="Palatino Linotype" w:cs="Times New Roman"/>
          <w:sz w:val="18"/>
          <w:szCs w:val="18"/>
        </w:rPr>
        <w:t>, 557–572.</w:t>
      </w:r>
    </w:p>
    <w:p w14:paraId="10A70D82"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proofErr w:type="spellStart"/>
      <w:r w:rsidRPr="0088704C">
        <w:rPr>
          <w:rFonts w:ascii="Palatino Linotype" w:hAnsi="Palatino Linotype" w:cs="Times New Roman"/>
          <w:sz w:val="18"/>
          <w:szCs w:val="18"/>
        </w:rPr>
        <w:t>Arend</w:t>
      </w:r>
      <w:bookmarkStart w:id="23" w:name="refTemp7"/>
      <w:bookmarkEnd w:id="23"/>
      <w:proofErr w:type="spellEnd"/>
      <w:r w:rsidRPr="0088704C">
        <w:rPr>
          <w:rFonts w:ascii="Palatino Linotype" w:hAnsi="Palatino Linotype" w:cs="Times New Roman"/>
          <w:sz w:val="18"/>
          <w:szCs w:val="18"/>
        </w:rPr>
        <w:t xml:space="preserve">, R.C.; </w:t>
      </w:r>
      <w:proofErr w:type="spellStart"/>
      <w:r w:rsidRPr="0088704C">
        <w:rPr>
          <w:rFonts w:ascii="Palatino Linotype" w:hAnsi="Palatino Linotype" w:cs="Times New Roman"/>
          <w:sz w:val="18"/>
          <w:szCs w:val="18"/>
        </w:rPr>
        <w:t>Londoño</w:t>
      </w:r>
      <w:proofErr w:type="spellEnd"/>
      <w:r w:rsidRPr="0088704C">
        <w:rPr>
          <w:rFonts w:ascii="Palatino Linotype" w:hAnsi="Palatino Linotype" w:cs="Times New Roman"/>
          <w:sz w:val="18"/>
          <w:szCs w:val="18"/>
        </w:rPr>
        <w:t xml:space="preserve">, A.I.; Montgomery, A.M.; Smith, H.J.; Dobbin, Z.C.; </w:t>
      </w:r>
      <w:proofErr w:type="spellStart"/>
      <w:r w:rsidRPr="0088704C">
        <w:rPr>
          <w:rFonts w:ascii="Palatino Linotype" w:hAnsi="Palatino Linotype" w:cs="Times New Roman"/>
          <w:sz w:val="18"/>
          <w:szCs w:val="18"/>
        </w:rPr>
        <w:t>Katre</w:t>
      </w:r>
      <w:proofErr w:type="spellEnd"/>
      <w:r w:rsidRPr="0088704C">
        <w:rPr>
          <w:rFonts w:ascii="Palatino Linotype" w:hAnsi="Palatino Linotype" w:cs="Times New Roman"/>
          <w:sz w:val="18"/>
          <w:szCs w:val="18"/>
        </w:rPr>
        <w:t>, A.A.;</w:t>
      </w:r>
      <w:r w:rsidRPr="0088704C">
        <w:t xml:space="preserve"> </w:t>
      </w:r>
      <w:r w:rsidRPr="0088704C">
        <w:rPr>
          <w:rFonts w:ascii="Palatino Linotype" w:hAnsi="Palatino Linotype" w:cs="Times New Roman"/>
          <w:sz w:val="18"/>
          <w:szCs w:val="18"/>
        </w:rPr>
        <w:t xml:space="preserve">Martinez, A.; Yang, E.S.; Alvarez, R.D.; Huh, W.K. et al. Molecular Response to Neoadjuvant Chemotherapy in High-Grade Serous Ovarian Carcinoma. </w:t>
      </w:r>
      <w:r w:rsidRPr="0088704C">
        <w:rPr>
          <w:rFonts w:ascii="Palatino Linotype" w:hAnsi="Palatino Linotype" w:cs="Times New Roman"/>
          <w:i/>
          <w:sz w:val="18"/>
          <w:szCs w:val="18"/>
        </w:rPr>
        <w:t>Mol. Cancer Res</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2018</w:t>
      </w:r>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16</w:t>
      </w:r>
      <w:r w:rsidRPr="0088704C">
        <w:rPr>
          <w:rFonts w:ascii="Palatino Linotype" w:hAnsi="Palatino Linotype" w:cs="Times New Roman"/>
          <w:sz w:val="18"/>
          <w:szCs w:val="18"/>
        </w:rPr>
        <w:t>, 813–824.</w:t>
      </w:r>
    </w:p>
    <w:p w14:paraId="73BDF736" w14:textId="77777777" w:rsidR="003D4BF2" w:rsidRPr="0088704C" w:rsidRDefault="003D4BF2" w:rsidP="003D4BF2">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r w:rsidRPr="0088704C">
        <w:rPr>
          <w:rFonts w:ascii="Palatino Linotype" w:hAnsi="Palatino Linotype" w:cs="Times New Roman"/>
          <w:sz w:val="18"/>
          <w:szCs w:val="18"/>
        </w:rPr>
        <w:t>Tate</w:t>
      </w:r>
      <w:bookmarkStart w:id="24" w:name="refTemp8"/>
      <w:bookmarkEnd w:id="24"/>
      <w:r w:rsidRPr="0088704C">
        <w:rPr>
          <w:rFonts w:ascii="Palatino Linotype" w:hAnsi="Palatino Linotype" w:cs="Times New Roman"/>
          <w:sz w:val="18"/>
          <w:szCs w:val="18"/>
        </w:rPr>
        <w:t xml:space="preserve">, J.G.; Bamford, S.; </w:t>
      </w:r>
      <w:proofErr w:type="spellStart"/>
      <w:r w:rsidRPr="0088704C">
        <w:rPr>
          <w:rFonts w:ascii="Palatino Linotype" w:hAnsi="Palatino Linotype" w:cs="Times New Roman"/>
          <w:sz w:val="18"/>
          <w:szCs w:val="18"/>
        </w:rPr>
        <w:t>Jubb</w:t>
      </w:r>
      <w:proofErr w:type="spellEnd"/>
      <w:r w:rsidRPr="0088704C">
        <w:rPr>
          <w:rFonts w:ascii="Palatino Linotype" w:hAnsi="Palatino Linotype" w:cs="Times New Roman"/>
          <w:sz w:val="18"/>
          <w:szCs w:val="18"/>
        </w:rPr>
        <w:t xml:space="preserve">, H.C.; </w:t>
      </w:r>
      <w:proofErr w:type="spellStart"/>
      <w:r w:rsidRPr="0088704C">
        <w:rPr>
          <w:rFonts w:ascii="Palatino Linotype" w:hAnsi="Palatino Linotype" w:cs="Times New Roman"/>
          <w:sz w:val="18"/>
          <w:szCs w:val="18"/>
        </w:rPr>
        <w:t>Sondka</w:t>
      </w:r>
      <w:proofErr w:type="spellEnd"/>
      <w:r w:rsidRPr="0088704C">
        <w:rPr>
          <w:rFonts w:ascii="Palatino Linotype" w:hAnsi="Palatino Linotype" w:cs="Times New Roman"/>
          <w:sz w:val="18"/>
          <w:szCs w:val="18"/>
        </w:rPr>
        <w:t xml:space="preserve">, Z.; </w:t>
      </w:r>
      <w:proofErr w:type="spellStart"/>
      <w:r w:rsidRPr="0088704C">
        <w:rPr>
          <w:rFonts w:ascii="Palatino Linotype" w:hAnsi="Palatino Linotype" w:cs="Times New Roman"/>
          <w:sz w:val="18"/>
          <w:szCs w:val="18"/>
        </w:rPr>
        <w:t>Beare</w:t>
      </w:r>
      <w:proofErr w:type="spellEnd"/>
      <w:r w:rsidRPr="0088704C">
        <w:rPr>
          <w:rFonts w:ascii="Palatino Linotype" w:hAnsi="Palatino Linotype" w:cs="Times New Roman"/>
          <w:sz w:val="18"/>
          <w:szCs w:val="18"/>
        </w:rPr>
        <w:t xml:space="preserve">, D.M.; </w:t>
      </w:r>
      <w:proofErr w:type="spellStart"/>
      <w:r w:rsidRPr="0088704C">
        <w:rPr>
          <w:rFonts w:ascii="Palatino Linotype" w:hAnsi="Palatino Linotype" w:cs="Times New Roman"/>
          <w:sz w:val="18"/>
          <w:szCs w:val="18"/>
        </w:rPr>
        <w:t>Bindal</w:t>
      </w:r>
      <w:proofErr w:type="spellEnd"/>
      <w:r w:rsidRPr="0088704C">
        <w:rPr>
          <w:rFonts w:ascii="Palatino Linotype" w:hAnsi="Palatino Linotype" w:cs="Times New Roman"/>
          <w:sz w:val="18"/>
          <w:szCs w:val="18"/>
        </w:rPr>
        <w:t xml:space="preserve">, N.; </w:t>
      </w:r>
      <w:proofErr w:type="spellStart"/>
      <w:r w:rsidRPr="0088704C">
        <w:rPr>
          <w:rFonts w:ascii="Palatino Linotype" w:hAnsi="Palatino Linotype" w:cs="Times New Roman"/>
          <w:sz w:val="18"/>
          <w:szCs w:val="18"/>
        </w:rPr>
        <w:t>Boutselakis</w:t>
      </w:r>
      <w:proofErr w:type="spellEnd"/>
      <w:r w:rsidRPr="0088704C">
        <w:rPr>
          <w:rFonts w:ascii="Palatino Linotype" w:hAnsi="Palatino Linotype" w:cs="Times New Roman"/>
          <w:sz w:val="18"/>
          <w:szCs w:val="18"/>
        </w:rPr>
        <w:t>, H.; Cole, C.G.;</w:t>
      </w:r>
      <w:r w:rsidRPr="0088704C">
        <w:t xml:space="preserve"> </w:t>
      </w:r>
      <w:proofErr w:type="spellStart"/>
      <w:r w:rsidRPr="0088704C">
        <w:rPr>
          <w:rFonts w:ascii="Palatino Linotype" w:hAnsi="Palatino Linotype" w:cs="Times New Roman"/>
          <w:sz w:val="18"/>
          <w:szCs w:val="18"/>
        </w:rPr>
        <w:t>Creatore</w:t>
      </w:r>
      <w:proofErr w:type="spellEnd"/>
      <w:r w:rsidRPr="0088704C">
        <w:rPr>
          <w:rFonts w:ascii="Palatino Linotype" w:hAnsi="Palatino Linotype" w:cs="Times New Roman"/>
          <w:sz w:val="18"/>
          <w:szCs w:val="18"/>
        </w:rPr>
        <w:t>, C.;</w:t>
      </w:r>
      <w:r w:rsidRPr="0088704C">
        <w:t xml:space="preserve"> </w:t>
      </w:r>
      <w:r w:rsidRPr="0088704C">
        <w:rPr>
          <w:rFonts w:ascii="Palatino Linotype" w:hAnsi="Palatino Linotype" w:cs="Times New Roman"/>
          <w:sz w:val="18"/>
          <w:szCs w:val="18"/>
        </w:rPr>
        <w:t xml:space="preserve">Dawson, E. et al. COSMIC: The Catalogue Of Somatic Mutations In Cancer. </w:t>
      </w:r>
      <w:r w:rsidRPr="0088704C">
        <w:rPr>
          <w:rFonts w:ascii="Palatino Linotype" w:hAnsi="Palatino Linotype" w:cs="Times New Roman"/>
          <w:i/>
          <w:sz w:val="18"/>
          <w:szCs w:val="18"/>
        </w:rPr>
        <w:t>Nucleic Acids Res.</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2019</w:t>
      </w:r>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47</w:t>
      </w:r>
      <w:r w:rsidRPr="0088704C">
        <w:rPr>
          <w:rFonts w:ascii="Palatino Linotype" w:hAnsi="Palatino Linotype" w:cs="Times New Roman"/>
          <w:sz w:val="18"/>
          <w:szCs w:val="18"/>
        </w:rPr>
        <w:t>, D941–947.</w:t>
      </w:r>
    </w:p>
    <w:p w14:paraId="76150C54" w14:textId="7FEF4AD2" w:rsidR="00AF5206" w:rsidRPr="0088704C" w:rsidRDefault="00F31A4E" w:rsidP="0088704C">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proofErr w:type="spellStart"/>
      <w:r w:rsidRPr="0088704C">
        <w:rPr>
          <w:rFonts w:ascii="Palatino Linotype" w:hAnsi="Palatino Linotype" w:cs="Times New Roman"/>
          <w:sz w:val="18"/>
          <w:szCs w:val="18"/>
        </w:rPr>
        <w:t>Lek</w:t>
      </w:r>
      <w:bookmarkStart w:id="25" w:name="refTemp9"/>
      <w:bookmarkEnd w:id="25"/>
      <w:proofErr w:type="spellEnd"/>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M</w:t>
      </w:r>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Karczewski</w:t>
      </w:r>
      <w:proofErr w:type="spellEnd"/>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K</w:t>
      </w:r>
      <w:r w:rsidR="00416A06" w:rsidRPr="0088704C">
        <w:rPr>
          <w:rFonts w:ascii="Palatino Linotype" w:hAnsi="Palatino Linotype" w:cs="Times New Roman"/>
          <w:sz w:val="18"/>
          <w:szCs w:val="18"/>
        </w:rPr>
        <w:t>.J.;</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Minikel</w:t>
      </w:r>
      <w:proofErr w:type="spellEnd"/>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E</w:t>
      </w:r>
      <w:r w:rsidR="00416A06" w:rsidRPr="0088704C">
        <w:rPr>
          <w:rFonts w:ascii="Palatino Linotype" w:hAnsi="Palatino Linotype" w:cs="Times New Roman"/>
          <w:sz w:val="18"/>
          <w:szCs w:val="18"/>
        </w:rPr>
        <w:t>.V.;</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Samocha</w:t>
      </w:r>
      <w:proofErr w:type="spellEnd"/>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K</w:t>
      </w:r>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E</w:t>
      </w:r>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Banks</w:t>
      </w:r>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E</w:t>
      </w:r>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Fennell</w:t>
      </w:r>
      <w:r w:rsidR="00416A06"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T</w:t>
      </w:r>
      <w:r w:rsidR="00416A06" w:rsidRPr="0088704C">
        <w:rPr>
          <w:rFonts w:ascii="Palatino Linotype" w:hAnsi="Palatino Linotype" w:cs="Times New Roman"/>
          <w:sz w:val="18"/>
          <w:szCs w:val="18"/>
        </w:rPr>
        <w:t>.; O’Donnell-Luria, A.H.; Ware, J.S.; Hill, A.J.; Cummings, B.B.</w:t>
      </w:r>
      <w:r w:rsidRPr="0088704C">
        <w:rPr>
          <w:rFonts w:ascii="Palatino Linotype" w:hAnsi="Palatino Linotype" w:cs="Times New Roman"/>
          <w:sz w:val="18"/>
          <w:szCs w:val="18"/>
        </w:rPr>
        <w:t xml:space="preserve"> et al. Analysis of protein-coding genetic variation in 60,706 humans. </w:t>
      </w:r>
      <w:r w:rsidRPr="0088704C">
        <w:rPr>
          <w:rFonts w:ascii="Palatino Linotype" w:hAnsi="Palatino Linotype" w:cs="Times New Roman"/>
          <w:i/>
          <w:sz w:val="18"/>
          <w:szCs w:val="18"/>
        </w:rPr>
        <w:t>Nature</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2016</w:t>
      </w:r>
      <w:r w:rsidR="00416A06"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536(7616)</w:t>
      </w:r>
      <w:r w:rsidR="00416A06" w:rsidRPr="0088704C">
        <w:rPr>
          <w:rFonts w:ascii="Palatino Linotype" w:hAnsi="Palatino Linotype" w:cs="Times New Roman"/>
          <w:sz w:val="18"/>
          <w:szCs w:val="18"/>
        </w:rPr>
        <w:t xml:space="preserve">, </w:t>
      </w:r>
      <w:r w:rsidRPr="0088704C">
        <w:rPr>
          <w:rFonts w:ascii="Palatino Linotype" w:hAnsi="Palatino Linotype" w:cs="Times New Roman"/>
          <w:sz w:val="18"/>
          <w:szCs w:val="18"/>
        </w:rPr>
        <w:t>285–91</w:t>
      </w:r>
      <w:r w:rsidR="00416A06" w:rsidRPr="0088704C">
        <w:rPr>
          <w:rFonts w:ascii="Palatino Linotype" w:hAnsi="Palatino Linotype" w:cs="Times New Roman"/>
          <w:sz w:val="18"/>
          <w:szCs w:val="18"/>
        </w:rPr>
        <w:t>.</w:t>
      </w:r>
    </w:p>
    <w:p w14:paraId="5B76C181" w14:textId="5B366102" w:rsidR="00F31A4E" w:rsidRPr="0088704C" w:rsidRDefault="00AF5206" w:rsidP="00AF5206">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hyperlink r:id="rId12" w:history="1">
        <w:proofErr w:type="spellStart"/>
        <w:r w:rsidRPr="0088704C">
          <w:rPr>
            <w:rFonts w:ascii="Palatino Linotype" w:eastAsia="Times New Roman" w:hAnsi="Palatino Linotype" w:cs="Arial"/>
            <w:sz w:val="18"/>
            <w:szCs w:val="18"/>
            <w:shd w:val="clear" w:color="auto" w:fill="FFFFFF"/>
          </w:rPr>
          <w:t>Auton</w:t>
        </w:r>
        <w:proofErr w:type="spellEnd"/>
        <w:r w:rsidRPr="0088704C">
          <w:rPr>
            <w:rFonts w:ascii="Palatino Linotype" w:eastAsia="Times New Roman" w:hAnsi="Palatino Linotype" w:cs="Arial"/>
            <w:sz w:val="18"/>
            <w:szCs w:val="18"/>
            <w:shd w:val="clear" w:color="auto" w:fill="FFFFFF"/>
          </w:rPr>
          <w:t xml:space="preserve"> A</w:t>
        </w:r>
      </w:hyperlink>
      <w:bookmarkStart w:id="26" w:name="refTemp10"/>
      <w:bookmarkEnd w:id="26"/>
      <w:r w:rsidRPr="0088704C">
        <w:rPr>
          <w:rFonts w:ascii="Palatino Linotype" w:eastAsia="Times New Roman" w:hAnsi="Palatino Linotype" w:cs="Arial"/>
          <w:sz w:val="18"/>
          <w:szCs w:val="18"/>
          <w:shd w:val="clear" w:color="auto" w:fill="FFFFFF"/>
        </w:rPr>
        <w:t>; </w:t>
      </w:r>
      <w:proofErr w:type="spellStart"/>
      <w:r w:rsidRPr="0088704C">
        <w:rPr>
          <w:rFonts w:ascii="Palatino Linotype" w:eastAsia="Times New Roman" w:hAnsi="Palatino Linotype" w:cs="Times New Roman"/>
          <w:sz w:val="18"/>
          <w:szCs w:val="18"/>
        </w:rPr>
        <w:fldChar w:fldCharType="begin"/>
      </w:r>
      <w:r w:rsidRPr="0088704C">
        <w:rPr>
          <w:rFonts w:ascii="Palatino Linotype" w:eastAsia="Times New Roman" w:hAnsi="Palatino Linotype" w:cs="Times New Roman"/>
          <w:sz w:val="18"/>
          <w:szCs w:val="18"/>
        </w:rPr>
        <w:instrText xml:space="preserve"> HYPERLINK "https://www.ncbi.nlm.nih.gov/pubmed/?term=Abecasis%20GR" </w:instrText>
      </w:r>
      <w:r w:rsidRPr="0088704C">
        <w:rPr>
          <w:rFonts w:ascii="Palatino Linotype" w:eastAsia="Times New Roman" w:hAnsi="Palatino Linotype" w:cs="Times New Roman"/>
          <w:sz w:val="18"/>
          <w:szCs w:val="18"/>
        </w:rPr>
        <w:fldChar w:fldCharType="separate"/>
      </w:r>
      <w:r w:rsidRPr="0088704C">
        <w:rPr>
          <w:rFonts w:ascii="Palatino Linotype" w:eastAsia="Times New Roman" w:hAnsi="Palatino Linotype" w:cs="Arial"/>
          <w:sz w:val="18"/>
          <w:szCs w:val="18"/>
          <w:shd w:val="clear" w:color="auto" w:fill="FFFFFF"/>
        </w:rPr>
        <w:t>Abecasis</w:t>
      </w:r>
      <w:proofErr w:type="spellEnd"/>
      <w:r w:rsidRPr="0088704C">
        <w:rPr>
          <w:rFonts w:ascii="Palatino Linotype" w:eastAsia="Times New Roman" w:hAnsi="Palatino Linotype" w:cs="Arial"/>
          <w:sz w:val="18"/>
          <w:szCs w:val="18"/>
          <w:shd w:val="clear" w:color="auto" w:fill="FFFFFF"/>
        </w:rPr>
        <w:t xml:space="preserve"> GR</w:t>
      </w:r>
      <w:r w:rsidRPr="0088704C">
        <w:rPr>
          <w:rFonts w:ascii="Palatino Linotype" w:eastAsia="Times New Roman" w:hAnsi="Palatino Linotype" w:cs="Times New Roman"/>
          <w:sz w:val="18"/>
          <w:szCs w:val="18"/>
        </w:rPr>
        <w:fldChar w:fldCharType="end"/>
      </w:r>
      <w:r w:rsidRPr="0088704C">
        <w:rPr>
          <w:rFonts w:ascii="Palatino Linotype" w:eastAsia="Times New Roman" w:hAnsi="Palatino Linotype" w:cs="Arial"/>
          <w:sz w:val="18"/>
          <w:szCs w:val="18"/>
          <w:shd w:val="clear" w:color="auto" w:fill="FFFFFF"/>
        </w:rPr>
        <w:t>; </w:t>
      </w:r>
      <w:proofErr w:type="spellStart"/>
      <w:r w:rsidRPr="0088704C">
        <w:rPr>
          <w:rFonts w:ascii="Palatino Linotype" w:eastAsia="Times New Roman" w:hAnsi="Palatino Linotype" w:cs="Times New Roman"/>
          <w:sz w:val="18"/>
          <w:szCs w:val="18"/>
        </w:rPr>
        <w:fldChar w:fldCharType="begin"/>
      </w:r>
      <w:r w:rsidRPr="0088704C">
        <w:rPr>
          <w:rFonts w:ascii="Palatino Linotype" w:eastAsia="Times New Roman" w:hAnsi="Palatino Linotype" w:cs="Times New Roman"/>
          <w:sz w:val="18"/>
          <w:szCs w:val="18"/>
        </w:rPr>
        <w:instrText xml:space="preserve"> HYPERLINK "https://www.ncbi.nlm.nih.gov/pubmed/?term=Altshuler%20DM" </w:instrText>
      </w:r>
      <w:r w:rsidRPr="0088704C">
        <w:rPr>
          <w:rFonts w:ascii="Palatino Linotype" w:eastAsia="Times New Roman" w:hAnsi="Palatino Linotype" w:cs="Times New Roman"/>
          <w:sz w:val="18"/>
          <w:szCs w:val="18"/>
        </w:rPr>
        <w:fldChar w:fldCharType="separate"/>
      </w:r>
      <w:r w:rsidRPr="0088704C">
        <w:rPr>
          <w:rFonts w:ascii="Palatino Linotype" w:eastAsia="Times New Roman" w:hAnsi="Palatino Linotype" w:cs="Arial"/>
          <w:sz w:val="18"/>
          <w:szCs w:val="18"/>
          <w:shd w:val="clear" w:color="auto" w:fill="FFFFFF"/>
        </w:rPr>
        <w:t>Altshuler</w:t>
      </w:r>
      <w:proofErr w:type="spellEnd"/>
      <w:r w:rsidRPr="0088704C">
        <w:rPr>
          <w:rFonts w:ascii="Palatino Linotype" w:eastAsia="Times New Roman" w:hAnsi="Palatino Linotype" w:cs="Arial"/>
          <w:sz w:val="18"/>
          <w:szCs w:val="18"/>
          <w:shd w:val="clear" w:color="auto" w:fill="FFFFFF"/>
        </w:rPr>
        <w:t xml:space="preserve"> DM</w:t>
      </w:r>
      <w:r w:rsidRPr="0088704C">
        <w:rPr>
          <w:rFonts w:ascii="Palatino Linotype" w:eastAsia="Times New Roman" w:hAnsi="Palatino Linotype" w:cs="Times New Roman"/>
          <w:sz w:val="18"/>
          <w:szCs w:val="18"/>
        </w:rPr>
        <w:fldChar w:fldCharType="end"/>
      </w:r>
      <w:r w:rsidRPr="0088704C">
        <w:rPr>
          <w:rFonts w:ascii="Palatino Linotype" w:eastAsia="Times New Roman" w:hAnsi="Palatino Linotype" w:cs="Arial"/>
          <w:sz w:val="18"/>
          <w:szCs w:val="18"/>
          <w:shd w:val="clear" w:color="auto" w:fill="FFFFFF"/>
        </w:rPr>
        <w:t>; </w:t>
      </w:r>
      <w:hyperlink r:id="rId13" w:history="1">
        <w:r w:rsidRPr="0088704C">
          <w:rPr>
            <w:rFonts w:ascii="Palatino Linotype" w:eastAsia="Times New Roman" w:hAnsi="Palatino Linotype" w:cs="Arial"/>
            <w:sz w:val="18"/>
            <w:szCs w:val="18"/>
            <w:shd w:val="clear" w:color="auto" w:fill="FFFFFF"/>
          </w:rPr>
          <w:t>Durbin RM</w:t>
        </w:r>
      </w:hyperlink>
      <w:r w:rsidRPr="0088704C">
        <w:rPr>
          <w:rFonts w:ascii="Palatino Linotype" w:eastAsia="Times New Roman" w:hAnsi="Palatino Linotype" w:cs="Arial"/>
          <w:sz w:val="18"/>
          <w:szCs w:val="18"/>
          <w:shd w:val="clear" w:color="auto" w:fill="FFFFFF"/>
        </w:rPr>
        <w:t>; </w:t>
      </w:r>
      <w:proofErr w:type="spellStart"/>
      <w:r w:rsidRPr="0088704C">
        <w:rPr>
          <w:rFonts w:ascii="Palatino Linotype" w:eastAsia="Times New Roman" w:hAnsi="Palatino Linotype" w:cs="Times New Roman"/>
          <w:sz w:val="18"/>
          <w:szCs w:val="18"/>
        </w:rPr>
        <w:fldChar w:fldCharType="begin"/>
      </w:r>
      <w:r w:rsidRPr="0088704C">
        <w:rPr>
          <w:rFonts w:ascii="Palatino Linotype" w:eastAsia="Times New Roman" w:hAnsi="Palatino Linotype" w:cs="Times New Roman"/>
          <w:sz w:val="18"/>
          <w:szCs w:val="18"/>
        </w:rPr>
        <w:instrText xml:space="preserve"> HYPERLINK "https://www.ncbi.nlm.nih.gov/pubmed/?term=Abecasis%20GR" </w:instrText>
      </w:r>
      <w:r w:rsidRPr="0088704C">
        <w:rPr>
          <w:rFonts w:ascii="Palatino Linotype" w:eastAsia="Times New Roman" w:hAnsi="Palatino Linotype" w:cs="Times New Roman"/>
          <w:sz w:val="18"/>
          <w:szCs w:val="18"/>
        </w:rPr>
        <w:fldChar w:fldCharType="separate"/>
      </w:r>
      <w:r w:rsidRPr="0088704C">
        <w:rPr>
          <w:rFonts w:ascii="Palatino Linotype" w:eastAsia="Times New Roman" w:hAnsi="Palatino Linotype" w:cs="Arial"/>
          <w:sz w:val="18"/>
          <w:szCs w:val="18"/>
          <w:shd w:val="clear" w:color="auto" w:fill="FFFFFF"/>
        </w:rPr>
        <w:t>Abecasis</w:t>
      </w:r>
      <w:proofErr w:type="spellEnd"/>
      <w:r w:rsidRPr="0088704C">
        <w:rPr>
          <w:rFonts w:ascii="Palatino Linotype" w:eastAsia="Times New Roman" w:hAnsi="Palatino Linotype" w:cs="Arial"/>
          <w:sz w:val="18"/>
          <w:szCs w:val="18"/>
          <w:shd w:val="clear" w:color="auto" w:fill="FFFFFF"/>
        </w:rPr>
        <w:t xml:space="preserve"> GR</w:t>
      </w:r>
      <w:r w:rsidRPr="0088704C">
        <w:rPr>
          <w:rFonts w:ascii="Palatino Linotype" w:eastAsia="Times New Roman" w:hAnsi="Palatino Linotype" w:cs="Times New Roman"/>
          <w:sz w:val="18"/>
          <w:szCs w:val="18"/>
        </w:rPr>
        <w:fldChar w:fldCharType="end"/>
      </w:r>
      <w:r w:rsidRPr="0088704C">
        <w:rPr>
          <w:rFonts w:ascii="Palatino Linotype" w:eastAsia="Times New Roman" w:hAnsi="Palatino Linotype" w:cs="Arial"/>
          <w:sz w:val="18"/>
          <w:szCs w:val="18"/>
          <w:shd w:val="clear" w:color="auto" w:fill="FFFFFF"/>
        </w:rPr>
        <w:t>; </w:t>
      </w:r>
      <w:hyperlink r:id="rId14" w:history="1">
        <w:r w:rsidRPr="0088704C">
          <w:rPr>
            <w:rFonts w:ascii="Palatino Linotype" w:eastAsia="Times New Roman" w:hAnsi="Palatino Linotype" w:cs="Arial"/>
            <w:sz w:val="18"/>
            <w:szCs w:val="18"/>
            <w:shd w:val="clear" w:color="auto" w:fill="FFFFFF"/>
          </w:rPr>
          <w:t>Bentley DR</w:t>
        </w:r>
      </w:hyperlink>
      <w:r w:rsidRPr="0088704C">
        <w:rPr>
          <w:rFonts w:ascii="Palatino Linotype" w:eastAsia="Times New Roman" w:hAnsi="Palatino Linotype" w:cs="Arial"/>
          <w:sz w:val="18"/>
          <w:szCs w:val="18"/>
          <w:shd w:val="clear" w:color="auto" w:fill="FFFFFF"/>
        </w:rPr>
        <w:t>; </w:t>
      </w:r>
      <w:proofErr w:type="spellStart"/>
      <w:r w:rsidRPr="0088704C">
        <w:rPr>
          <w:rFonts w:ascii="Palatino Linotype" w:eastAsia="Times New Roman" w:hAnsi="Palatino Linotype" w:cs="Times New Roman"/>
          <w:sz w:val="18"/>
          <w:szCs w:val="18"/>
        </w:rPr>
        <w:fldChar w:fldCharType="begin"/>
      </w:r>
      <w:r w:rsidRPr="0088704C">
        <w:rPr>
          <w:rFonts w:ascii="Palatino Linotype" w:eastAsia="Times New Roman" w:hAnsi="Palatino Linotype" w:cs="Times New Roman"/>
          <w:sz w:val="18"/>
          <w:szCs w:val="18"/>
        </w:rPr>
        <w:instrText xml:space="preserve"> HYPERLINK "https://www.ncbi.nlm.nih.gov/pubmed/?term=Chakravarti%20A" </w:instrText>
      </w:r>
      <w:r w:rsidRPr="0088704C">
        <w:rPr>
          <w:rFonts w:ascii="Palatino Linotype" w:eastAsia="Times New Roman" w:hAnsi="Palatino Linotype" w:cs="Times New Roman"/>
          <w:sz w:val="18"/>
          <w:szCs w:val="18"/>
        </w:rPr>
        <w:fldChar w:fldCharType="separate"/>
      </w:r>
      <w:r w:rsidRPr="0088704C">
        <w:rPr>
          <w:rFonts w:ascii="Palatino Linotype" w:eastAsia="Times New Roman" w:hAnsi="Palatino Linotype" w:cs="Arial"/>
          <w:sz w:val="18"/>
          <w:szCs w:val="18"/>
          <w:shd w:val="clear" w:color="auto" w:fill="FFFFFF"/>
        </w:rPr>
        <w:t>Chakravarti</w:t>
      </w:r>
      <w:proofErr w:type="spellEnd"/>
      <w:r w:rsidRPr="0088704C">
        <w:rPr>
          <w:rFonts w:ascii="Palatino Linotype" w:eastAsia="Times New Roman" w:hAnsi="Palatino Linotype" w:cs="Arial"/>
          <w:sz w:val="18"/>
          <w:szCs w:val="18"/>
          <w:shd w:val="clear" w:color="auto" w:fill="FFFFFF"/>
        </w:rPr>
        <w:t xml:space="preserve"> A</w:t>
      </w:r>
      <w:r w:rsidRPr="0088704C">
        <w:rPr>
          <w:rFonts w:ascii="Palatino Linotype" w:eastAsia="Times New Roman" w:hAnsi="Palatino Linotype" w:cs="Times New Roman"/>
          <w:sz w:val="18"/>
          <w:szCs w:val="18"/>
        </w:rPr>
        <w:fldChar w:fldCharType="end"/>
      </w:r>
      <w:r w:rsidRPr="0088704C">
        <w:rPr>
          <w:rFonts w:ascii="Palatino Linotype" w:eastAsia="Times New Roman" w:hAnsi="Palatino Linotype" w:cs="Arial"/>
          <w:sz w:val="18"/>
          <w:szCs w:val="18"/>
          <w:shd w:val="clear" w:color="auto" w:fill="FFFFFF"/>
        </w:rPr>
        <w:t>; </w:t>
      </w:r>
      <w:hyperlink r:id="rId15" w:history="1">
        <w:r w:rsidRPr="0088704C">
          <w:rPr>
            <w:rFonts w:ascii="Palatino Linotype" w:eastAsia="Times New Roman" w:hAnsi="Palatino Linotype" w:cs="Arial"/>
            <w:sz w:val="18"/>
            <w:szCs w:val="18"/>
            <w:shd w:val="clear" w:color="auto" w:fill="FFFFFF"/>
          </w:rPr>
          <w:t>Clark AG</w:t>
        </w:r>
      </w:hyperlink>
      <w:r w:rsidRPr="0088704C">
        <w:rPr>
          <w:rFonts w:ascii="Palatino Linotype" w:eastAsia="Times New Roman" w:hAnsi="Palatino Linotype" w:cs="Arial"/>
          <w:sz w:val="18"/>
          <w:szCs w:val="18"/>
          <w:shd w:val="clear" w:color="auto" w:fill="FFFFFF"/>
        </w:rPr>
        <w:t>; </w:t>
      </w:r>
      <w:hyperlink r:id="rId16" w:history="1">
        <w:r w:rsidRPr="0088704C">
          <w:rPr>
            <w:rFonts w:ascii="Palatino Linotype" w:eastAsia="Times New Roman" w:hAnsi="Palatino Linotype" w:cs="Arial"/>
            <w:sz w:val="18"/>
            <w:szCs w:val="18"/>
            <w:shd w:val="clear" w:color="auto" w:fill="FFFFFF"/>
          </w:rPr>
          <w:t>Donnelly P</w:t>
        </w:r>
      </w:hyperlink>
      <w:r w:rsidRPr="0088704C">
        <w:rPr>
          <w:rFonts w:ascii="Palatino Linotype" w:eastAsia="Times New Roman" w:hAnsi="Palatino Linotype" w:cs="Arial"/>
          <w:sz w:val="18"/>
          <w:szCs w:val="18"/>
          <w:shd w:val="clear" w:color="auto" w:fill="FFFFFF"/>
        </w:rPr>
        <w:t>; </w:t>
      </w:r>
      <w:hyperlink r:id="rId17" w:history="1">
        <w:r w:rsidRPr="0088704C">
          <w:rPr>
            <w:rFonts w:ascii="Palatino Linotype" w:eastAsia="Times New Roman" w:hAnsi="Palatino Linotype" w:cs="Arial"/>
            <w:sz w:val="18"/>
            <w:szCs w:val="18"/>
            <w:shd w:val="clear" w:color="auto" w:fill="FFFFFF"/>
          </w:rPr>
          <w:t>Eichler EE</w:t>
        </w:r>
      </w:hyperlink>
      <w:r w:rsidRPr="0088704C">
        <w:rPr>
          <w:rFonts w:ascii="Palatino Linotype" w:eastAsia="Times New Roman" w:hAnsi="Palatino Linotype" w:cs="Times New Roman"/>
          <w:sz w:val="18"/>
          <w:szCs w:val="18"/>
        </w:rPr>
        <w:t>. et al</w:t>
      </w:r>
      <w:r w:rsidR="00F31A4E" w:rsidRPr="0088704C">
        <w:rPr>
          <w:rFonts w:ascii="Palatino Linotype" w:hAnsi="Palatino Linotype" w:cs="Times New Roman"/>
          <w:sz w:val="18"/>
          <w:szCs w:val="18"/>
        </w:rPr>
        <w:t xml:space="preserve"> A global reference for human genetic variation. </w:t>
      </w:r>
      <w:r w:rsidR="00F31A4E" w:rsidRPr="0088704C">
        <w:rPr>
          <w:rFonts w:ascii="Palatino Linotype" w:hAnsi="Palatino Linotype" w:cs="Times New Roman"/>
          <w:i/>
          <w:sz w:val="18"/>
          <w:szCs w:val="18"/>
        </w:rPr>
        <w:t>Nature</w:t>
      </w:r>
      <w:r w:rsidR="00F31A4E" w:rsidRPr="0088704C">
        <w:rPr>
          <w:rFonts w:ascii="Palatino Linotype" w:hAnsi="Palatino Linotype" w:cs="Times New Roman"/>
          <w:sz w:val="18"/>
          <w:szCs w:val="18"/>
        </w:rPr>
        <w:t xml:space="preserve"> </w:t>
      </w:r>
      <w:r w:rsidR="00F31A4E" w:rsidRPr="0088704C">
        <w:rPr>
          <w:rFonts w:ascii="Palatino Linotype" w:hAnsi="Palatino Linotype" w:cs="Times New Roman"/>
          <w:b/>
          <w:sz w:val="18"/>
          <w:szCs w:val="18"/>
        </w:rPr>
        <w:t>2015</w:t>
      </w:r>
      <w:r w:rsidR="00416A06" w:rsidRPr="0088704C">
        <w:rPr>
          <w:rFonts w:ascii="Palatino Linotype" w:hAnsi="Palatino Linotype" w:cs="Times New Roman"/>
          <w:sz w:val="18"/>
          <w:szCs w:val="18"/>
        </w:rPr>
        <w:t xml:space="preserve">, </w:t>
      </w:r>
      <w:r w:rsidR="00F31A4E" w:rsidRPr="0088704C">
        <w:rPr>
          <w:rFonts w:ascii="Palatino Linotype" w:hAnsi="Palatino Linotype" w:cs="Times New Roman"/>
          <w:i/>
          <w:sz w:val="18"/>
          <w:szCs w:val="18"/>
        </w:rPr>
        <w:t>526(7571)</w:t>
      </w:r>
      <w:r w:rsidR="00416A06" w:rsidRPr="0088704C">
        <w:rPr>
          <w:rFonts w:ascii="Palatino Linotype" w:hAnsi="Palatino Linotype" w:cs="Times New Roman"/>
          <w:i/>
          <w:sz w:val="18"/>
          <w:szCs w:val="18"/>
        </w:rPr>
        <w:t>,</w:t>
      </w:r>
      <w:r w:rsidR="00416A06" w:rsidRPr="0088704C">
        <w:rPr>
          <w:rFonts w:ascii="Palatino Linotype" w:hAnsi="Palatino Linotype" w:cs="Times New Roman"/>
          <w:sz w:val="18"/>
          <w:szCs w:val="18"/>
        </w:rPr>
        <w:t xml:space="preserve"> </w:t>
      </w:r>
      <w:r w:rsidR="00F31A4E" w:rsidRPr="0088704C">
        <w:rPr>
          <w:rFonts w:ascii="Palatino Linotype" w:hAnsi="Palatino Linotype" w:cs="Times New Roman"/>
          <w:sz w:val="18"/>
          <w:szCs w:val="18"/>
        </w:rPr>
        <w:t xml:space="preserve">68–74. </w:t>
      </w:r>
    </w:p>
    <w:p w14:paraId="75EA4E2C" w14:textId="5886BCEC" w:rsidR="00F31A4E" w:rsidRPr="0088704C" w:rsidRDefault="00F31A4E" w:rsidP="005321C4">
      <w:pPr>
        <w:pStyle w:val="ListParagraph"/>
        <w:widowControl w:val="0"/>
        <w:numPr>
          <w:ilvl w:val="0"/>
          <w:numId w:val="8"/>
        </w:numPr>
        <w:adjustRightInd w:val="0"/>
        <w:snapToGrid w:val="0"/>
        <w:spacing w:line="260" w:lineRule="atLeast"/>
        <w:ind w:left="425" w:hanging="425"/>
        <w:jc w:val="both"/>
        <w:rPr>
          <w:rFonts w:ascii="Palatino Linotype" w:hAnsi="Palatino Linotype" w:cs="Times New Roman"/>
          <w:sz w:val="18"/>
          <w:szCs w:val="18"/>
        </w:rPr>
      </w:pPr>
      <w:proofErr w:type="spellStart"/>
      <w:r w:rsidRPr="0088704C">
        <w:rPr>
          <w:rFonts w:ascii="Palatino Linotype" w:hAnsi="Palatino Linotype" w:cs="Times New Roman"/>
          <w:sz w:val="18"/>
          <w:szCs w:val="18"/>
        </w:rPr>
        <w:t>Karczewski</w:t>
      </w:r>
      <w:bookmarkStart w:id="27" w:name="refTemp11"/>
      <w:bookmarkEnd w:id="27"/>
      <w:proofErr w:type="spellEnd"/>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K</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J</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Francioli</w:t>
      </w:r>
      <w:proofErr w:type="spellEnd"/>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L</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C</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Tiao</w:t>
      </w:r>
      <w:proofErr w:type="spellEnd"/>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G</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Cummings</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B</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B</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Alföldi</w:t>
      </w:r>
      <w:proofErr w:type="spellEnd"/>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J</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Wang</w:t>
      </w:r>
      <w:r w:rsidR="00E1587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Q</w:t>
      </w:r>
      <w:r w:rsidR="00E15870" w:rsidRPr="0088704C">
        <w:rPr>
          <w:rFonts w:ascii="Palatino Linotype" w:hAnsi="Palatino Linotype" w:cs="Times New Roman"/>
          <w:sz w:val="18"/>
          <w:szCs w:val="18"/>
        </w:rPr>
        <w:t xml:space="preserve">.; Collins, R.L.; </w:t>
      </w:r>
      <w:proofErr w:type="spellStart"/>
      <w:r w:rsidR="00E15870" w:rsidRPr="0088704C">
        <w:rPr>
          <w:rFonts w:ascii="Palatino Linotype" w:hAnsi="Palatino Linotype" w:cs="Times New Roman"/>
          <w:sz w:val="18"/>
          <w:szCs w:val="18"/>
        </w:rPr>
        <w:t>Laricchia</w:t>
      </w:r>
      <w:proofErr w:type="spellEnd"/>
      <w:r w:rsidR="00E15870" w:rsidRPr="0088704C">
        <w:rPr>
          <w:rFonts w:ascii="Palatino Linotype" w:hAnsi="Palatino Linotype" w:cs="Times New Roman"/>
          <w:sz w:val="18"/>
          <w:szCs w:val="18"/>
        </w:rPr>
        <w:t xml:space="preserve">, K.M.; </w:t>
      </w:r>
      <w:proofErr w:type="spellStart"/>
      <w:r w:rsidR="00E15870" w:rsidRPr="0088704C">
        <w:rPr>
          <w:rFonts w:ascii="Palatino Linotype" w:hAnsi="Palatino Linotype" w:cs="Times New Roman"/>
          <w:sz w:val="18"/>
          <w:szCs w:val="18"/>
        </w:rPr>
        <w:t>Ganna</w:t>
      </w:r>
      <w:proofErr w:type="spellEnd"/>
      <w:r w:rsidR="00E15870" w:rsidRPr="0088704C">
        <w:rPr>
          <w:rFonts w:ascii="Palatino Linotype" w:hAnsi="Palatino Linotype" w:cs="Times New Roman"/>
          <w:sz w:val="18"/>
          <w:szCs w:val="18"/>
        </w:rPr>
        <w:t>, A.; Birnbaum, D.P.</w:t>
      </w:r>
      <w:r w:rsidRPr="0088704C">
        <w:rPr>
          <w:rFonts w:ascii="Palatino Linotype" w:hAnsi="Palatino Linotype" w:cs="Times New Roman"/>
          <w:sz w:val="18"/>
          <w:szCs w:val="18"/>
        </w:rPr>
        <w:t xml:space="preserve"> et al. Variation across 141,456 human exomes and genomes reveals the spectrum of loss-of-function intolerance across human protein-coding genes</w:t>
      </w:r>
      <w:r w:rsidR="00E15870" w:rsidRPr="0088704C">
        <w:rPr>
          <w:rFonts w:ascii="Palatino Linotype" w:hAnsi="Palatino Linotype" w:cs="Times New Roman"/>
          <w:sz w:val="18"/>
          <w:szCs w:val="18"/>
        </w:rPr>
        <w:t xml:space="preserve">. </w:t>
      </w:r>
      <w:proofErr w:type="spellStart"/>
      <w:r w:rsidR="00E15870" w:rsidRPr="0088704C">
        <w:rPr>
          <w:rFonts w:ascii="Palatino Linotype" w:hAnsi="Palatino Linotype" w:cs="Times New Roman"/>
          <w:i/>
          <w:sz w:val="18"/>
          <w:szCs w:val="18"/>
        </w:rPr>
        <w:t>B</w:t>
      </w:r>
      <w:r w:rsidRPr="0088704C">
        <w:rPr>
          <w:rFonts w:ascii="Palatino Linotype" w:hAnsi="Palatino Linotype" w:cs="Times New Roman"/>
          <w:i/>
          <w:sz w:val="18"/>
          <w:szCs w:val="18"/>
        </w:rPr>
        <w:t>ioRxiv</w:t>
      </w:r>
      <w:proofErr w:type="spellEnd"/>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2019</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Available </w:t>
      </w:r>
      <w:r w:rsidR="00990580" w:rsidRPr="0088704C">
        <w:rPr>
          <w:rFonts w:ascii="Palatino Linotype" w:hAnsi="Palatino Linotype" w:cs="Times New Roman"/>
          <w:sz w:val="18"/>
          <w:szCs w:val="18"/>
        </w:rPr>
        <w:t>online</w:t>
      </w:r>
      <w:r w:rsidRPr="0088704C">
        <w:rPr>
          <w:rFonts w:ascii="Palatino Linotype" w:hAnsi="Palatino Linotype" w:cs="Times New Roman"/>
          <w:sz w:val="18"/>
          <w:szCs w:val="18"/>
        </w:rPr>
        <w:t>: https://www.biorxiv.org/content/early/2019/08/13/531210</w:t>
      </w:r>
      <w:r w:rsidR="00990580" w:rsidRPr="0088704C">
        <w:rPr>
          <w:rFonts w:ascii="Palatino Linotype" w:hAnsi="Palatino Linotype" w:cs="Times New Roman"/>
          <w:sz w:val="18"/>
          <w:szCs w:val="18"/>
        </w:rPr>
        <w:t>.</w:t>
      </w:r>
    </w:p>
    <w:p w14:paraId="45047C27" w14:textId="72E8DB34" w:rsidR="0023212D" w:rsidRPr="0088704C" w:rsidRDefault="00F31A4E" w:rsidP="0088704C">
      <w:pPr>
        <w:pStyle w:val="ListParagraph"/>
        <w:widowControl w:val="0"/>
        <w:numPr>
          <w:ilvl w:val="0"/>
          <w:numId w:val="8"/>
        </w:numPr>
        <w:adjustRightInd w:val="0"/>
        <w:snapToGrid w:val="0"/>
        <w:spacing w:line="260" w:lineRule="atLeast"/>
        <w:ind w:left="425" w:hanging="425"/>
        <w:jc w:val="both"/>
        <w:rPr>
          <w:rFonts w:ascii="Palatino Linotype" w:hAnsi="Palatino Linotype"/>
        </w:rPr>
      </w:pPr>
      <w:proofErr w:type="spellStart"/>
      <w:r w:rsidRPr="0088704C">
        <w:rPr>
          <w:rFonts w:ascii="Palatino Linotype" w:hAnsi="Palatino Linotype" w:cs="Times New Roman"/>
          <w:sz w:val="18"/>
          <w:szCs w:val="18"/>
        </w:rPr>
        <w:t>Lanman</w:t>
      </w:r>
      <w:bookmarkStart w:id="28" w:name="refTemp12"/>
      <w:bookmarkEnd w:id="28"/>
      <w:proofErr w:type="spellEnd"/>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R</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B</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Mortimer</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S</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A</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Zill</w:t>
      </w:r>
      <w:proofErr w:type="spellEnd"/>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O</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A</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Sebisanovic</w:t>
      </w:r>
      <w:proofErr w:type="spellEnd"/>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D</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Lopez</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R</w:t>
      </w:r>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w:t>
      </w:r>
      <w:proofErr w:type="spellStart"/>
      <w:r w:rsidRPr="0088704C">
        <w:rPr>
          <w:rFonts w:ascii="Palatino Linotype" w:hAnsi="Palatino Linotype" w:cs="Times New Roman"/>
          <w:sz w:val="18"/>
          <w:szCs w:val="18"/>
        </w:rPr>
        <w:t>Blau</w:t>
      </w:r>
      <w:proofErr w:type="spellEnd"/>
      <w:r w:rsidR="00990580" w:rsidRPr="0088704C">
        <w:rPr>
          <w:rFonts w:ascii="Palatino Linotype" w:hAnsi="Palatino Linotype" w:cs="Times New Roman"/>
          <w:sz w:val="18"/>
          <w:szCs w:val="18"/>
        </w:rPr>
        <w:t>,</w:t>
      </w:r>
      <w:r w:rsidRPr="0088704C">
        <w:rPr>
          <w:rFonts w:ascii="Palatino Linotype" w:hAnsi="Palatino Linotype" w:cs="Times New Roman"/>
          <w:sz w:val="18"/>
          <w:szCs w:val="18"/>
        </w:rPr>
        <w:t xml:space="preserve"> S</w:t>
      </w:r>
      <w:r w:rsidR="00990580" w:rsidRPr="0088704C">
        <w:rPr>
          <w:rFonts w:ascii="Palatino Linotype" w:hAnsi="Palatino Linotype" w:cs="Times New Roman"/>
          <w:sz w:val="18"/>
          <w:szCs w:val="18"/>
        </w:rPr>
        <w:t xml:space="preserve">.; </w:t>
      </w:r>
      <w:proofErr w:type="spellStart"/>
      <w:r w:rsidR="00990580" w:rsidRPr="0088704C">
        <w:rPr>
          <w:rFonts w:ascii="Palatino Linotype" w:hAnsi="Palatino Linotype" w:cs="Times New Roman"/>
          <w:sz w:val="18"/>
          <w:szCs w:val="18"/>
        </w:rPr>
        <w:t>Collisson</w:t>
      </w:r>
      <w:proofErr w:type="spellEnd"/>
      <w:r w:rsidR="00990580" w:rsidRPr="0088704C">
        <w:rPr>
          <w:rFonts w:ascii="Palatino Linotype" w:hAnsi="Palatino Linotype" w:cs="Times New Roman"/>
          <w:sz w:val="18"/>
          <w:szCs w:val="18"/>
        </w:rPr>
        <w:t xml:space="preserve">, E.A.; Divers, S.G.; </w:t>
      </w:r>
      <w:proofErr w:type="spellStart"/>
      <w:r w:rsidR="00990580" w:rsidRPr="0088704C">
        <w:rPr>
          <w:rFonts w:ascii="Palatino Linotype" w:hAnsi="Palatino Linotype" w:cs="Times New Roman"/>
          <w:sz w:val="18"/>
          <w:szCs w:val="18"/>
        </w:rPr>
        <w:t>Hoon</w:t>
      </w:r>
      <w:proofErr w:type="spellEnd"/>
      <w:r w:rsidR="00990580" w:rsidRPr="0088704C">
        <w:rPr>
          <w:rFonts w:ascii="Palatino Linotype" w:hAnsi="Palatino Linotype" w:cs="Times New Roman"/>
          <w:sz w:val="18"/>
          <w:szCs w:val="18"/>
        </w:rPr>
        <w:t xml:space="preserve">, D.S.; </w:t>
      </w:r>
      <w:proofErr w:type="spellStart"/>
      <w:r w:rsidR="00990580" w:rsidRPr="0088704C">
        <w:rPr>
          <w:rFonts w:ascii="Palatino Linotype" w:hAnsi="Palatino Linotype" w:cs="Times New Roman"/>
          <w:sz w:val="18"/>
          <w:szCs w:val="18"/>
        </w:rPr>
        <w:t>Kopetz</w:t>
      </w:r>
      <w:proofErr w:type="spellEnd"/>
      <w:r w:rsidR="00990580" w:rsidRPr="0088704C">
        <w:rPr>
          <w:rFonts w:ascii="Palatino Linotype" w:hAnsi="Palatino Linotype" w:cs="Times New Roman"/>
          <w:sz w:val="18"/>
          <w:szCs w:val="18"/>
        </w:rPr>
        <w:t>, E.S.</w:t>
      </w:r>
      <w:r w:rsidRPr="0088704C">
        <w:rPr>
          <w:rFonts w:ascii="Palatino Linotype" w:hAnsi="Palatino Linotype" w:cs="Times New Roman"/>
          <w:sz w:val="18"/>
          <w:szCs w:val="18"/>
        </w:rPr>
        <w:t xml:space="preserve"> et al. Analytical and Clinical Validation of a Digital Sequencing Panel for Quantitative, Highly Accurate Evaluation of Cell-Free Circulating Tumor DNA. </w:t>
      </w:r>
      <w:proofErr w:type="spellStart"/>
      <w:r w:rsidRPr="0088704C">
        <w:rPr>
          <w:rFonts w:ascii="Palatino Linotype" w:hAnsi="Palatino Linotype" w:cs="Times New Roman"/>
          <w:i/>
          <w:sz w:val="18"/>
          <w:szCs w:val="18"/>
        </w:rPr>
        <w:t>PLoS</w:t>
      </w:r>
      <w:proofErr w:type="spellEnd"/>
      <w:r w:rsidRPr="0088704C">
        <w:rPr>
          <w:rFonts w:ascii="Palatino Linotype" w:hAnsi="Palatino Linotype" w:cs="Times New Roman"/>
          <w:i/>
          <w:sz w:val="18"/>
          <w:szCs w:val="18"/>
        </w:rPr>
        <w:t xml:space="preserve"> One</w:t>
      </w:r>
      <w:r w:rsidRPr="0088704C">
        <w:rPr>
          <w:rFonts w:ascii="Palatino Linotype" w:hAnsi="Palatino Linotype" w:cs="Times New Roman"/>
          <w:sz w:val="18"/>
          <w:szCs w:val="18"/>
        </w:rPr>
        <w:t xml:space="preserve"> </w:t>
      </w:r>
      <w:r w:rsidRPr="0088704C">
        <w:rPr>
          <w:rFonts w:ascii="Palatino Linotype" w:hAnsi="Palatino Linotype" w:cs="Times New Roman"/>
          <w:b/>
          <w:sz w:val="18"/>
          <w:szCs w:val="18"/>
        </w:rPr>
        <w:t>2015</w:t>
      </w:r>
      <w:r w:rsidR="00990580" w:rsidRPr="0088704C">
        <w:rPr>
          <w:rFonts w:ascii="Palatino Linotype" w:hAnsi="Palatino Linotype" w:cs="Times New Roman"/>
          <w:b/>
          <w:sz w:val="18"/>
          <w:szCs w:val="18"/>
        </w:rPr>
        <w:t>,</w:t>
      </w:r>
      <w:r w:rsidRPr="0088704C">
        <w:rPr>
          <w:rFonts w:ascii="Palatino Linotype" w:hAnsi="Palatino Linotype" w:cs="Times New Roman"/>
          <w:sz w:val="18"/>
          <w:szCs w:val="18"/>
        </w:rPr>
        <w:t xml:space="preserve"> </w:t>
      </w:r>
      <w:r w:rsidRPr="0088704C">
        <w:rPr>
          <w:rFonts w:ascii="Palatino Linotype" w:hAnsi="Palatino Linotype" w:cs="Times New Roman"/>
          <w:i/>
          <w:sz w:val="18"/>
          <w:szCs w:val="18"/>
        </w:rPr>
        <w:t>10(10</w:t>
      </w:r>
      <w:proofErr w:type="gramStart"/>
      <w:r w:rsidRPr="0088704C">
        <w:rPr>
          <w:rFonts w:ascii="Palatino Linotype" w:hAnsi="Palatino Linotype" w:cs="Times New Roman"/>
          <w:i/>
          <w:sz w:val="18"/>
          <w:szCs w:val="18"/>
        </w:rPr>
        <w:t>):e</w:t>
      </w:r>
      <w:proofErr w:type="gramEnd"/>
      <w:r w:rsidRPr="0088704C">
        <w:rPr>
          <w:rFonts w:ascii="Palatino Linotype" w:hAnsi="Palatino Linotype" w:cs="Times New Roman"/>
          <w:i/>
          <w:sz w:val="18"/>
          <w:szCs w:val="18"/>
        </w:rPr>
        <w:t>0140712</w:t>
      </w:r>
      <w:r w:rsidRPr="0088704C">
        <w:rPr>
          <w:rFonts w:ascii="Palatino Linotype" w:hAnsi="Palatino Linotype" w:cs="Times New Roman"/>
          <w:sz w:val="18"/>
          <w:szCs w:val="18"/>
        </w:rPr>
        <w:t xml:space="preserve">. </w:t>
      </w:r>
      <w:bookmarkEnd w:id="14"/>
    </w:p>
    <w:p w14:paraId="6A2E43EA" w14:textId="77777777" w:rsidR="0088704C" w:rsidRPr="0088704C" w:rsidRDefault="0088704C" w:rsidP="0088704C">
      <w:pPr>
        <w:widowControl w:val="0"/>
        <w:adjustRightInd w:val="0"/>
        <w:snapToGrid w:val="0"/>
        <w:spacing w:line="260" w:lineRule="atLeast"/>
        <w:jc w:val="both"/>
        <w:rPr>
          <w:rFonts w:ascii="Palatino Linotype" w:hAnsi="Palatino Linotype"/>
        </w:rPr>
      </w:pPr>
    </w:p>
    <w:tbl>
      <w:tblPr>
        <w:tblW w:w="0" w:type="auto"/>
        <w:jc w:val="center"/>
        <w:tblLook w:val="04A0" w:firstRow="1" w:lastRow="0" w:firstColumn="1" w:lastColumn="0" w:noHBand="0" w:noVBand="1"/>
      </w:tblPr>
      <w:tblGrid>
        <w:gridCol w:w="1721"/>
        <w:gridCol w:w="7149"/>
      </w:tblGrid>
      <w:tr w:rsidR="0023212D" w:rsidRPr="0088704C" w14:paraId="7B3551E0" w14:textId="77777777" w:rsidTr="00505A23">
        <w:trPr>
          <w:jc w:val="center"/>
        </w:trPr>
        <w:tc>
          <w:tcPr>
            <w:tcW w:w="0" w:type="auto"/>
            <w:shd w:val="clear" w:color="auto" w:fill="auto"/>
            <w:vAlign w:val="center"/>
          </w:tcPr>
          <w:p w14:paraId="3D1E2FD6" w14:textId="34D20DAF" w:rsidR="0023212D" w:rsidRPr="0088704C" w:rsidRDefault="0023212D" w:rsidP="005321C4">
            <w:pPr>
              <w:pStyle w:val="MDPI71References"/>
              <w:numPr>
                <w:ilvl w:val="0"/>
                <w:numId w:val="0"/>
              </w:numPr>
              <w:adjustRightInd w:val="0"/>
              <w:snapToGrid w:val="0"/>
              <w:ind w:left="-85"/>
              <w:rPr>
                <w:rFonts w:eastAsia="宋体"/>
                <w:bCs/>
                <w:color w:val="auto"/>
              </w:rPr>
            </w:pPr>
            <w:bookmarkStart w:id="29" w:name="refTemp13"/>
            <w:bookmarkEnd w:id="29"/>
            <w:r w:rsidRPr="0088704C">
              <w:rPr>
                <w:rFonts w:eastAsia="宋体"/>
                <w:bCs/>
                <w:noProof/>
                <w:color w:val="auto"/>
                <w:lang w:eastAsia="en-US" w:bidi="ar-SA"/>
              </w:rPr>
              <w:drawing>
                <wp:inline distT="0" distB="0" distL="0" distR="0" wp14:anchorId="581BC9EB" wp14:editId="72229C46">
                  <wp:extent cx="1000125" cy="361950"/>
                  <wp:effectExtent l="0" t="0" r="9525" b="0"/>
                  <wp:docPr id="4" name="Picture 4" descr="copy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pyRigh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00125" cy="361950"/>
                          </a:xfrm>
                          <a:prstGeom prst="rect">
                            <a:avLst/>
                          </a:prstGeom>
                          <a:noFill/>
                          <a:ln>
                            <a:noFill/>
                          </a:ln>
                        </pic:spPr>
                      </pic:pic>
                    </a:graphicData>
                  </a:graphic>
                </wp:inline>
              </w:drawing>
            </w:r>
          </w:p>
        </w:tc>
        <w:tc>
          <w:tcPr>
            <w:tcW w:w="7149" w:type="dxa"/>
            <w:shd w:val="clear" w:color="auto" w:fill="auto"/>
            <w:vAlign w:val="center"/>
          </w:tcPr>
          <w:p w14:paraId="4A1DFB0F" w14:textId="5856518D" w:rsidR="0023212D" w:rsidRPr="0088704C" w:rsidRDefault="0023212D" w:rsidP="005321C4">
            <w:pPr>
              <w:pStyle w:val="MDPI71References"/>
              <w:numPr>
                <w:ilvl w:val="0"/>
                <w:numId w:val="0"/>
              </w:numPr>
              <w:adjustRightInd w:val="0"/>
              <w:snapToGrid w:val="0"/>
              <w:ind w:left="-85"/>
              <w:rPr>
                <w:rFonts w:eastAsia="宋体"/>
                <w:bCs/>
                <w:color w:val="auto"/>
              </w:rPr>
            </w:pPr>
            <w:r w:rsidRPr="0088704C">
              <w:rPr>
                <w:rFonts w:eastAsia="宋体"/>
                <w:bCs/>
                <w:color w:val="auto"/>
              </w:rPr>
              <w:t>© 2019</w:t>
            </w:r>
            <w:r w:rsidR="0034584D" w:rsidRPr="0088704C">
              <w:rPr>
                <w:rFonts w:eastAsia="宋体"/>
                <w:bCs/>
                <w:color w:val="auto"/>
              </w:rPr>
              <w:t xml:space="preserve"> by the authors. Licensee MDPI, Basel, Switzerland. This article is an open access article distributed under the terms and conditions of the Creative Commons Attribution (CC BY) license (http://creativecommons.org/licenses/by/4.0/).</w:t>
            </w:r>
          </w:p>
        </w:tc>
      </w:tr>
      <w:bookmarkEnd w:id="13"/>
    </w:tbl>
    <w:p w14:paraId="7F1807A5" w14:textId="5955A0BE" w:rsidR="00583010" w:rsidRPr="0088704C" w:rsidRDefault="00583010" w:rsidP="005321C4">
      <w:pPr>
        <w:widowControl w:val="0"/>
        <w:adjustRightInd w:val="0"/>
        <w:snapToGrid w:val="0"/>
        <w:spacing w:line="260" w:lineRule="atLeast"/>
        <w:jc w:val="both"/>
        <w:rPr>
          <w:rFonts w:ascii="Palatino Linotype" w:hAnsi="Palatino Linotype"/>
        </w:rPr>
      </w:pPr>
    </w:p>
    <w:sectPr w:rsidR="00583010" w:rsidRPr="0088704C" w:rsidSect="005321C4">
      <w:headerReference w:type="default" r:id="rId19"/>
      <w:headerReference w:type="first" r:id="rId20"/>
      <w:type w:val="continuous"/>
      <w:pgSz w:w="11909" w:h="16834"/>
      <w:pgMar w:top="1417" w:right="1531" w:bottom="1077" w:left="1531" w:header="1020" w:footer="85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A557F5" w14:textId="77777777" w:rsidR="00EC69DA" w:rsidRDefault="00EC69DA" w:rsidP="00583010">
      <w:r>
        <w:separator/>
      </w:r>
    </w:p>
  </w:endnote>
  <w:endnote w:type="continuationSeparator" w:id="0">
    <w:p w14:paraId="58696EE2" w14:textId="77777777" w:rsidR="00EC69DA" w:rsidRDefault="00EC69DA" w:rsidP="005830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Yu Mincho">
    <w:altName w:val="游明朝"/>
    <w:panose1 w:val="00000000000000000000"/>
    <w:charset w:val="80"/>
    <w:family w:val="roman"/>
    <w:notTrueType/>
    <w:pitch w:val="default"/>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92F91D" w14:textId="77777777" w:rsidR="00EC69DA" w:rsidRDefault="00EC69DA" w:rsidP="00583010">
      <w:r>
        <w:separator/>
      </w:r>
    </w:p>
  </w:footnote>
  <w:footnote w:type="continuationSeparator" w:id="0">
    <w:p w14:paraId="228824FB" w14:textId="77777777" w:rsidR="00EC69DA" w:rsidRDefault="00EC69DA" w:rsidP="005830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99EB4B" w14:textId="346E963F" w:rsidR="00505A23" w:rsidRPr="00784946" w:rsidRDefault="00505A23" w:rsidP="00784946">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2019</w:t>
    </w:r>
    <w:r w:rsidRPr="00F71A8C">
      <w:rPr>
        <w:rFonts w:ascii="Palatino Linotype" w:hAnsi="Palatino Linotype"/>
        <w:sz w:val="16"/>
      </w:rPr>
      <w:t xml:space="preserve">, </w:t>
    </w:r>
    <w:r w:rsidRPr="00F71A8C">
      <w:rPr>
        <w:rFonts w:ascii="Palatino Linotype" w:hAnsi="Palatino Linotype"/>
        <w:i/>
        <w:sz w:val="16"/>
      </w:rPr>
      <w:t>11</w:t>
    </w:r>
    <w:r>
      <w:rPr>
        <w:rFonts w:ascii="Palatino Linotype" w:hAnsi="Palatino Linotype"/>
        <w:sz w:val="16"/>
      </w:rPr>
      <w:tab/>
    </w:r>
    <w:r>
      <w:rPr>
        <w:rFonts w:ascii="Palatino Linotype" w:hAnsi="Palatino Linotype" w:hint="eastAsia"/>
        <w:sz w:val="16"/>
        <w:lang w:eastAsia="zh-CN"/>
      </w:rPr>
      <w:t>S</w:t>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AF5206">
      <w:rPr>
        <w:rFonts w:ascii="Palatino Linotype" w:hAnsi="Palatino Linotype"/>
        <w:noProof/>
        <w:sz w:val="16"/>
      </w:rPr>
      <w:t>6</w:t>
    </w:r>
    <w:r>
      <w:rPr>
        <w:rFonts w:ascii="Palatino Linotype" w:hAnsi="Palatino Linotype"/>
        <w:sz w:val="16"/>
      </w:rPr>
      <w:fldChar w:fldCharType="end"/>
    </w:r>
    <w:r>
      <w:rPr>
        <w:rFonts w:ascii="Palatino Linotype" w:hAnsi="Palatino Linotype"/>
        <w:sz w:val="16"/>
      </w:rPr>
      <w:t xml:space="preserve"> of S</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sidR="00AF5206">
      <w:rPr>
        <w:rFonts w:ascii="Palatino Linotype" w:hAnsi="Palatino Linotype"/>
        <w:noProof/>
        <w:sz w:val="16"/>
      </w:rPr>
      <w:t>6</w:t>
    </w:r>
    <w:r>
      <w:rPr>
        <w:rFonts w:ascii="Palatino Linotype" w:hAnsi="Palatino Linotype"/>
        <w:sz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F25981" w14:textId="2F6CE6E0" w:rsidR="00505A23" w:rsidRPr="00DA12BA" w:rsidRDefault="00505A23" w:rsidP="00DA12BA">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2019</w:t>
    </w:r>
    <w:r w:rsidRPr="00F71A8C">
      <w:rPr>
        <w:rFonts w:ascii="Palatino Linotype" w:hAnsi="Palatino Linotype"/>
        <w:sz w:val="16"/>
      </w:rPr>
      <w:t xml:space="preserve">, </w:t>
    </w:r>
    <w:r w:rsidRPr="00F71A8C">
      <w:rPr>
        <w:rFonts w:ascii="Palatino Linotype" w:hAnsi="Palatino Linotype"/>
        <w:i/>
        <w:sz w:val="16"/>
      </w:rPr>
      <w:t>11</w:t>
    </w:r>
    <w:r>
      <w:rPr>
        <w:rFonts w:ascii="Palatino Linotype" w:hAnsi="Palatino Linotype"/>
        <w:sz w:val="16"/>
      </w:rPr>
      <w:t>, x</w:t>
    </w:r>
    <w:r>
      <w:rPr>
        <w:rFonts w:ascii="Palatino Linotype" w:hAnsi="Palatino Linotype"/>
        <w:sz w:val="16"/>
      </w:rPr>
      <w:tab/>
    </w:r>
    <w:r>
      <w:rPr>
        <w:rFonts w:ascii="Palatino Linotype" w:hAnsi="Palatino Linotype" w:hint="eastAsia"/>
        <w:sz w:val="16"/>
        <w:lang w:eastAsia="zh-CN"/>
      </w:rPr>
      <w:t>S</w:t>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AF5206">
      <w:rPr>
        <w:rFonts w:ascii="Palatino Linotype" w:hAnsi="Palatino Linotype"/>
        <w:noProof/>
        <w:sz w:val="16"/>
      </w:rPr>
      <w:t>1</w:t>
    </w:r>
    <w:r>
      <w:rPr>
        <w:rFonts w:ascii="Palatino Linotype" w:hAnsi="Palatino Linotype"/>
        <w:sz w:val="16"/>
      </w:rPr>
      <w:fldChar w:fldCharType="end"/>
    </w:r>
    <w:r>
      <w:rPr>
        <w:rFonts w:ascii="Palatino Linotype" w:hAnsi="Palatino Linotype"/>
        <w:sz w:val="16"/>
      </w:rPr>
      <w:t xml:space="preserve"> of S</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sidR="00AF5206">
      <w:rPr>
        <w:rFonts w:ascii="Palatino Linotype" w:hAnsi="Palatino Linotype"/>
        <w:noProof/>
        <w:sz w:val="16"/>
      </w:rPr>
      <w:t>7</w:t>
    </w:r>
    <w:r>
      <w:rPr>
        <w:rFonts w:ascii="Palatino Linotype" w:hAnsi="Palatino Linotype"/>
        <w:sz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71A5768"/>
    <w:multiLevelType w:val="hybridMultilevel"/>
    <w:tmpl w:val="12CEB640"/>
    <w:lvl w:ilvl="0" w:tplc="651C6FDE">
      <w:start w:val="1"/>
      <w:numFmt w:val="decimal"/>
      <w:lvlText w:val="%1."/>
      <w:lvlJc w:val="left"/>
      <w:pPr>
        <w:ind w:left="720" w:hanging="360"/>
      </w:pPr>
      <w:rPr>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4" w15:restartNumberingAfterBreak="0">
    <w:nsid w:val="71581DF3"/>
    <w:multiLevelType w:val="hybridMultilevel"/>
    <w:tmpl w:val="017E7DDC"/>
    <w:lvl w:ilvl="0" w:tplc="73560FB6">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0"/>
  </w:num>
  <w:num w:numId="5">
    <w:abstractNumId w:val="2"/>
  </w:num>
  <w:num w:numId="6">
    <w:abstractNumId w:val="3"/>
  </w:num>
  <w:num w:numId="7">
    <w:abstractNumId w:val="0"/>
  </w:num>
  <w:num w:numId="8">
    <w:abstractNumId w:val="1"/>
  </w:num>
  <w:num w:numId="9">
    <w:abstractNumId w:val="4"/>
  </w:num>
  <w:num w:numId="10">
    <w:abstractNumId w:val="2"/>
  </w:num>
  <w:num w:numId="11">
    <w:abstractNumId w:val="3"/>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8"/>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D3EA5"/>
    <w:rsid w:val="0005441C"/>
    <w:rsid w:val="00086965"/>
    <w:rsid w:val="000F1E27"/>
    <w:rsid w:val="00124842"/>
    <w:rsid w:val="00130670"/>
    <w:rsid w:val="001357DE"/>
    <w:rsid w:val="00142748"/>
    <w:rsid w:val="00177D52"/>
    <w:rsid w:val="001C4D55"/>
    <w:rsid w:val="00230D3B"/>
    <w:rsid w:val="0023212D"/>
    <w:rsid w:val="00253CBE"/>
    <w:rsid w:val="00325047"/>
    <w:rsid w:val="0034584D"/>
    <w:rsid w:val="003655CF"/>
    <w:rsid w:val="00374E35"/>
    <w:rsid w:val="00394666"/>
    <w:rsid w:val="003D4BF2"/>
    <w:rsid w:val="003E6FC2"/>
    <w:rsid w:val="00416A06"/>
    <w:rsid w:val="00441533"/>
    <w:rsid w:val="004C753E"/>
    <w:rsid w:val="004D3EA5"/>
    <w:rsid w:val="004D541E"/>
    <w:rsid w:val="00505A23"/>
    <w:rsid w:val="00506179"/>
    <w:rsid w:val="005321C4"/>
    <w:rsid w:val="005450D9"/>
    <w:rsid w:val="005812C2"/>
    <w:rsid w:val="00583010"/>
    <w:rsid w:val="005A5DC9"/>
    <w:rsid w:val="00645679"/>
    <w:rsid w:val="006B45D7"/>
    <w:rsid w:val="007223CC"/>
    <w:rsid w:val="00735663"/>
    <w:rsid w:val="00755C76"/>
    <w:rsid w:val="00784946"/>
    <w:rsid w:val="00785E88"/>
    <w:rsid w:val="007B33CC"/>
    <w:rsid w:val="007E1910"/>
    <w:rsid w:val="007E7307"/>
    <w:rsid w:val="0088704C"/>
    <w:rsid w:val="008A3B62"/>
    <w:rsid w:val="008C7051"/>
    <w:rsid w:val="008E3A0F"/>
    <w:rsid w:val="008E5C58"/>
    <w:rsid w:val="00982FBC"/>
    <w:rsid w:val="00990580"/>
    <w:rsid w:val="0099547B"/>
    <w:rsid w:val="009E60AA"/>
    <w:rsid w:val="00AD5B69"/>
    <w:rsid w:val="00AF5206"/>
    <w:rsid w:val="00B14463"/>
    <w:rsid w:val="00BF5766"/>
    <w:rsid w:val="00BF6DC1"/>
    <w:rsid w:val="00C01486"/>
    <w:rsid w:val="00CA7FAA"/>
    <w:rsid w:val="00CC46AF"/>
    <w:rsid w:val="00CD4179"/>
    <w:rsid w:val="00DA0EC6"/>
    <w:rsid w:val="00DA12BA"/>
    <w:rsid w:val="00DF6F5B"/>
    <w:rsid w:val="00E0165C"/>
    <w:rsid w:val="00E12D98"/>
    <w:rsid w:val="00E15870"/>
    <w:rsid w:val="00E3131B"/>
    <w:rsid w:val="00E41CE4"/>
    <w:rsid w:val="00E633D2"/>
    <w:rsid w:val="00E64035"/>
    <w:rsid w:val="00E838A9"/>
    <w:rsid w:val="00E965B1"/>
    <w:rsid w:val="00EC69DA"/>
    <w:rsid w:val="00F00B69"/>
    <w:rsid w:val="00F31A4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121A3AF"/>
  <w15:docId w15:val="{49721A14-A09A-48FB-9C71-F49827A46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宋体"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82FBC"/>
    <w:rPr>
      <w:color w:val="0563C1" w:themeColor="hyperlink"/>
      <w:u w:val="single"/>
    </w:rPr>
  </w:style>
  <w:style w:type="character" w:customStyle="1" w:styleId="UnresolvedMention1">
    <w:name w:val="Unresolved Mention1"/>
    <w:basedOn w:val="DefaultParagraphFont"/>
    <w:uiPriority w:val="99"/>
    <w:semiHidden/>
    <w:unhideWhenUsed/>
    <w:rsid w:val="00982FBC"/>
    <w:rPr>
      <w:color w:val="605E5C"/>
      <w:shd w:val="clear" w:color="auto" w:fill="E1DFDD"/>
    </w:rPr>
  </w:style>
  <w:style w:type="paragraph" w:styleId="BalloonText">
    <w:name w:val="Balloon Text"/>
    <w:basedOn w:val="Normal"/>
    <w:link w:val="BalloonTextChar"/>
    <w:uiPriority w:val="99"/>
    <w:semiHidden/>
    <w:unhideWhenUsed/>
    <w:rsid w:val="008E5C58"/>
    <w:rPr>
      <w:rFonts w:ascii="Tahoma" w:hAnsi="Tahoma" w:cs="Tahoma"/>
      <w:sz w:val="16"/>
      <w:szCs w:val="16"/>
    </w:rPr>
  </w:style>
  <w:style w:type="character" w:customStyle="1" w:styleId="BalloonTextChar">
    <w:name w:val="Balloon Text Char"/>
    <w:basedOn w:val="DefaultParagraphFont"/>
    <w:link w:val="BalloonText"/>
    <w:uiPriority w:val="99"/>
    <w:semiHidden/>
    <w:rsid w:val="008E5C58"/>
    <w:rPr>
      <w:rFonts w:ascii="Tahoma" w:hAnsi="Tahoma" w:cs="Tahoma"/>
      <w:sz w:val="16"/>
      <w:szCs w:val="16"/>
    </w:rPr>
  </w:style>
  <w:style w:type="paragraph" w:customStyle="1" w:styleId="MDPI12title">
    <w:name w:val="MDPI_1.2_title"/>
    <w:next w:val="MDPI13authornames"/>
    <w:qFormat/>
    <w:rsid w:val="005321C4"/>
    <w:pPr>
      <w:adjustRightInd w:val="0"/>
      <w:snapToGrid w:val="0"/>
      <w:spacing w:after="240" w:line="240" w:lineRule="atLeast"/>
    </w:pPr>
    <w:rPr>
      <w:rFonts w:ascii="Palatino Linotype" w:eastAsia="Times New Roman" w:hAnsi="Palatino Linotype" w:cs="Times New Roman"/>
      <w:b/>
      <w:snapToGrid w:val="0"/>
      <w:color w:val="000000"/>
      <w:sz w:val="36"/>
      <w:szCs w:val="20"/>
      <w:lang w:eastAsia="de-DE" w:bidi="en-US"/>
    </w:rPr>
  </w:style>
  <w:style w:type="paragraph" w:styleId="Header">
    <w:name w:val="header"/>
    <w:basedOn w:val="Normal"/>
    <w:link w:val="HeaderChar"/>
    <w:uiPriority w:val="99"/>
    <w:unhideWhenUsed/>
    <w:rsid w:val="00583010"/>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583010"/>
    <w:rPr>
      <w:sz w:val="18"/>
      <w:szCs w:val="18"/>
    </w:rPr>
  </w:style>
  <w:style w:type="paragraph" w:styleId="Footer">
    <w:name w:val="footer"/>
    <w:basedOn w:val="Normal"/>
    <w:link w:val="FooterChar"/>
    <w:uiPriority w:val="99"/>
    <w:unhideWhenUsed/>
    <w:rsid w:val="00583010"/>
    <w:pPr>
      <w:tabs>
        <w:tab w:val="center" w:pos="4153"/>
        <w:tab w:val="right" w:pos="8306"/>
      </w:tabs>
      <w:snapToGrid w:val="0"/>
    </w:pPr>
    <w:rPr>
      <w:sz w:val="18"/>
      <w:szCs w:val="18"/>
    </w:rPr>
  </w:style>
  <w:style w:type="character" w:customStyle="1" w:styleId="FooterChar">
    <w:name w:val="Footer Char"/>
    <w:basedOn w:val="DefaultParagraphFont"/>
    <w:link w:val="Footer"/>
    <w:uiPriority w:val="99"/>
    <w:rsid w:val="00583010"/>
    <w:rPr>
      <w:sz w:val="18"/>
      <w:szCs w:val="18"/>
    </w:rPr>
  </w:style>
  <w:style w:type="paragraph" w:customStyle="1" w:styleId="MDPI71References">
    <w:name w:val="MDPI_7.1_References"/>
    <w:qFormat/>
    <w:rsid w:val="005321C4"/>
    <w:pPr>
      <w:numPr>
        <w:numId w:val="12"/>
      </w:numPr>
      <w:spacing w:line="26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11articletype">
    <w:name w:val="MDPI_1.1_article_type"/>
    <w:next w:val="MDPI12title"/>
    <w:qFormat/>
    <w:rsid w:val="005321C4"/>
    <w:pPr>
      <w:adjustRightInd w:val="0"/>
      <w:snapToGrid w:val="0"/>
      <w:spacing w:before="240"/>
    </w:pPr>
    <w:rPr>
      <w:rFonts w:ascii="Palatino Linotype" w:eastAsia="Times New Roman" w:hAnsi="Palatino Linotype" w:cs="Times New Roman"/>
      <w:i/>
      <w:snapToGrid w:val="0"/>
      <w:color w:val="000000"/>
      <w:sz w:val="20"/>
      <w:szCs w:val="22"/>
      <w:lang w:eastAsia="de-DE" w:bidi="en-US"/>
    </w:rPr>
  </w:style>
  <w:style w:type="paragraph" w:customStyle="1" w:styleId="MDPI13authornames">
    <w:name w:val="MDPI_1.3_authornames"/>
    <w:next w:val="MDPI14history"/>
    <w:qFormat/>
    <w:rsid w:val="005321C4"/>
    <w:pPr>
      <w:adjustRightInd w:val="0"/>
      <w:snapToGrid w:val="0"/>
      <w:spacing w:after="120" w:line="260" w:lineRule="atLeast"/>
    </w:pPr>
    <w:rPr>
      <w:rFonts w:ascii="Palatino Linotype" w:eastAsia="Times New Roman" w:hAnsi="Palatino Linotype" w:cs="Times New Roman"/>
      <w:b/>
      <w:color w:val="000000"/>
      <w:sz w:val="20"/>
      <w:szCs w:val="22"/>
      <w:lang w:eastAsia="de-DE" w:bidi="en-US"/>
    </w:rPr>
  </w:style>
  <w:style w:type="paragraph" w:customStyle="1" w:styleId="MDPI14history">
    <w:name w:val="MDPI_1.4_history"/>
    <w:basedOn w:val="MDPI62Acknowledgments"/>
    <w:next w:val="MDPI15academiceditor"/>
    <w:qFormat/>
    <w:rsid w:val="005321C4"/>
    <w:pPr>
      <w:ind w:left="113"/>
      <w:jc w:val="left"/>
    </w:pPr>
    <w:rPr>
      <w:snapToGrid/>
    </w:rPr>
  </w:style>
  <w:style w:type="paragraph" w:customStyle="1" w:styleId="MDPI15academiceditor">
    <w:name w:val="MDPI_1.5_academic_editor"/>
    <w:qFormat/>
    <w:rsid w:val="005321C4"/>
    <w:pPr>
      <w:adjustRightInd w:val="0"/>
      <w:snapToGrid w:val="0"/>
      <w:spacing w:line="260" w:lineRule="atLeast"/>
      <w:ind w:left="113"/>
    </w:pPr>
    <w:rPr>
      <w:rFonts w:ascii="Palatino Linotype" w:eastAsia="Times New Roman" w:hAnsi="Palatino Linotype" w:cs="Times New Roman"/>
      <w:color w:val="000000"/>
      <w:sz w:val="18"/>
      <w:szCs w:val="22"/>
      <w:lang w:eastAsia="de-DE" w:bidi="en-US"/>
    </w:rPr>
  </w:style>
  <w:style w:type="paragraph" w:customStyle="1" w:styleId="MDPI16affiliation">
    <w:name w:val="MDPI_1.6_affiliation"/>
    <w:qFormat/>
    <w:rsid w:val="005321C4"/>
    <w:pPr>
      <w:adjustRightInd w:val="0"/>
      <w:snapToGrid w:val="0"/>
      <w:spacing w:line="260" w:lineRule="atLeast"/>
      <w:ind w:left="311" w:hanging="198"/>
    </w:pPr>
    <w:rPr>
      <w:rFonts w:ascii="Palatino Linotype" w:eastAsia="Times New Roman" w:hAnsi="Palatino Linotype" w:cs="Times New Roman"/>
      <w:color w:val="000000"/>
      <w:sz w:val="18"/>
      <w:szCs w:val="18"/>
      <w:lang w:eastAsia="de-DE" w:bidi="en-US"/>
    </w:rPr>
  </w:style>
  <w:style w:type="paragraph" w:customStyle="1" w:styleId="MDPI17abstract">
    <w:name w:val="MDPI_1.7_abstract"/>
    <w:next w:val="Normal"/>
    <w:qFormat/>
    <w:rsid w:val="005321C4"/>
    <w:pPr>
      <w:adjustRightInd w:val="0"/>
      <w:snapToGrid w:val="0"/>
      <w:spacing w:before="240" w:line="260" w:lineRule="atLeast"/>
      <w:ind w:left="113"/>
      <w:jc w:val="both"/>
    </w:pPr>
    <w:rPr>
      <w:rFonts w:ascii="Palatino Linotype" w:eastAsia="Times New Roman" w:hAnsi="Palatino Linotype" w:cs="Times New Roman"/>
      <w:color w:val="000000"/>
      <w:sz w:val="20"/>
      <w:szCs w:val="22"/>
      <w:lang w:eastAsia="de-DE" w:bidi="en-US"/>
    </w:rPr>
  </w:style>
  <w:style w:type="paragraph" w:customStyle="1" w:styleId="MDPI18keywords">
    <w:name w:val="MDPI_1.8_keywords"/>
    <w:next w:val="MDPI19classification"/>
    <w:qFormat/>
    <w:rsid w:val="005321C4"/>
    <w:pPr>
      <w:adjustRightInd w:val="0"/>
      <w:snapToGrid w:val="0"/>
      <w:spacing w:before="240" w:line="260" w:lineRule="atLeast"/>
      <w:ind w:left="113"/>
      <w:jc w:val="both"/>
    </w:pPr>
    <w:rPr>
      <w:rFonts w:ascii="Palatino Linotype" w:eastAsia="Times New Roman" w:hAnsi="Palatino Linotype" w:cs="Times New Roman"/>
      <w:snapToGrid w:val="0"/>
      <w:color w:val="000000"/>
      <w:sz w:val="20"/>
      <w:szCs w:val="22"/>
      <w:lang w:eastAsia="de-DE" w:bidi="en-US"/>
    </w:rPr>
  </w:style>
  <w:style w:type="paragraph" w:customStyle="1" w:styleId="MDPI19classification">
    <w:name w:val="MDPI_1.9_classification"/>
    <w:qFormat/>
    <w:rsid w:val="005321C4"/>
    <w:pPr>
      <w:spacing w:before="240" w:line="260" w:lineRule="atLeast"/>
      <w:ind w:left="113"/>
      <w:jc w:val="both"/>
    </w:pPr>
    <w:rPr>
      <w:rFonts w:ascii="Palatino Linotype" w:eastAsia="Times New Roman" w:hAnsi="Palatino Linotype" w:cs="Times New Roman"/>
      <w:b/>
      <w:color w:val="000000"/>
      <w:sz w:val="20"/>
      <w:szCs w:val="22"/>
      <w:lang w:eastAsia="de-DE" w:bidi="en-US"/>
    </w:rPr>
  </w:style>
  <w:style w:type="paragraph" w:customStyle="1" w:styleId="MDPI19line">
    <w:name w:val="MDPI_1.9_line"/>
    <w:qFormat/>
    <w:rsid w:val="005321C4"/>
    <w:pPr>
      <w:pBdr>
        <w:bottom w:val="single" w:sz="6" w:space="1" w:color="auto"/>
      </w:pBdr>
      <w:spacing w:line="260" w:lineRule="atLeast"/>
      <w:jc w:val="both"/>
    </w:pPr>
    <w:rPr>
      <w:rFonts w:ascii="Palatino Linotype" w:eastAsia="Times New Roman" w:hAnsi="Palatino Linotype"/>
      <w:color w:val="000000"/>
      <w:sz w:val="20"/>
      <w:lang w:eastAsia="de-DE" w:bidi="en-US"/>
    </w:rPr>
  </w:style>
  <w:style w:type="paragraph" w:customStyle="1" w:styleId="MDPI21heading1">
    <w:name w:val="MDPI_2.1_heading1"/>
    <w:qFormat/>
    <w:rsid w:val="005321C4"/>
    <w:pPr>
      <w:adjustRightInd w:val="0"/>
      <w:snapToGrid w:val="0"/>
      <w:spacing w:before="240" w:after="120" w:line="260" w:lineRule="atLeast"/>
      <w:jc w:val="both"/>
      <w:outlineLvl w:val="0"/>
    </w:pPr>
    <w:rPr>
      <w:rFonts w:ascii="Palatino Linotype" w:eastAsia="Times New Roman" w:hAnsi="Palatino Linotype" w:cs="Times New Roman"/>
      <w:b/>
      <w:snapToGrid w:val="0"/>
      <w:color w:val="000000"/>
      <w:sz w:val="20"/>
      <w:szCs w:val="22"/>
      <w:lang w:eastAsia="de-DE" w:bidi="en-US"/>
    </w:rPr>
  </w:style>
  <w:style w:type="paragraph" w:customStyle="1" w:styleId="MDPI22heading2">
    <w:name w:val="MDPI_2.2_heading2"/>
    <w:qFormat/>
    <w:rsid w:val="005321C4"/>
    <w:pPr>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szCs w:val="22"/>
      <w:lang w:eastAsia="de-DE" w:bidi="en-US"/>
    </w:rPr>
  </w:style>
  <w:style w:type="paragraph" w:customStyle="1" w:styleId="MDPI23heading3">
    <w:name w:val="MDPI_2.3_heading3"/>
    <w:qFormat/>
    <w:rsid w:val="005321C4"/>
    <w:pPr>
      <w:adjustRightInd w:val="0"/>
      <w:snapToGrid w:val="0"/>
      <w:spacing w:before="240" w:after="120" w:line="260" w:lineRule="atLeast"/>
      <w:outlineLvl w:val="2"/>
    </w:pPr>
    <w:rPr>
      <w:rFonts w:ascii="Palatino Linotype" w:eastAsia="Times New Roman" w:hAnsi="Palatino Linotype" w:cs="Times New Roman"/>
      <w:snapToGrid w:val="0"/>
      <w:color w:val="000000"/>
      <w:sz w:val="20"/>
      <w:szCs w:val="22"/>
      <w:lang w:eastAsia="de-DE" w:bidi="en-US"/>
    </w:rPr>
  </w:style>
  <w:style w:type="paragraph" w:customStyle="1" w:styleId="MDPI31text">
    <w:name w:val="MDPI_3.1_text"/>
    <w:qFormat/>
    <w:rsid w:val="005321C4"/>
    <w:pPr>
      <w:adjustRightInd w:val="0"/>
      <w:snapToGrid w:val="0"/>
      <w:spacing w:line="260" w:lineRule="atLeast"/>
      <w:ind w:firstLine="425"/>
      <w:jc w:val="both"/>
    </w:pPr>
    <w:rPr>
      <w:rFonts w:ascii="Palatino Linotype" w:eastAsia="Times New Roman" w:hAnsi="Palatino Linotype" w:cs="Times New Roman"/>
      <w:snapToGrid w:val="0"/>
      <w:color w:val="000000"/>
      <w:sz w:val="20"/>
      <w:szCs w:val="22"/>
      <w:lang w:eastAsia="de-DE" w:bidi="en-US"/>
    </w:rPr>
  </w:style>
  <w:style w:type="paragraph" w:customStyle="1" w:styleId="MDPI32textnoindent">
    <w:name w:val="MDPI_3.2_text_no_indent"/>
    <w:qFormat/>
    <w:rsid w:val="005321C4"/>
    <w:pPr>
      <w:adjustRightInd w:val="0"/>
      <w:snapToGrid w:val="0"/>
      <w:spacing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33textspaceafter">
    <w:name w:val="MDPI_3.3_text_space_after"/>
    <w:qFormat/>
    <w:rsid w:val="005321C4"/>
    <w:pPr>
      <w:spacing w:after="240"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34textspacebefore">
    <w:name w:val="MDPI_3.4_text_space_before"/>
    <w:qFormat/>
    <w:rsid w:val="005321C4"/>
    <w:pPr>
      <w:spacing w:before="240"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35textbeforelist">
    <w:name w:val="MDPI_3.5_text_before_list"/>
    <w:qFormat/>
    <w:rsid w:val="005321C4"/>
    <w:pPr>
      <w:spacing w:after="120"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36textafterlist">
    <w:name w:val="MDPI_3.6_text_after_list"/>
    <w:qFormat/>
    <w:rsid w:val="005321C4"/>
    <w:pPr>
      <w:spacing w:before="120"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37itemize">
    <w:name w:val="MDPI_3.7_itemize"/>
    <w:qFormat/>
    <w:rsid w:val="005321C4"/>
    <w:pPr>
      <w:numPr>
        <w:numId w:val="10"/>
      </w:numPr>
      <w:spacing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38bullet">
    <w:name w:val="MDPI_3.8_bullet"/>
    <w:qFormat/>
    <w:rsid w:val="005321C4"/>
    <w:pPr>
      <w:numPr>
        <w:numId w:val="11"/>
      </w:numPr>
      <w:adjustRightInd w:val="0"/>
      <w:snapToGrid w:val="0"/>
      <w:spacing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39equation">
    <w:name w:val="MDPI_3.9_equation"/>
    <w:qFormat/>
    <w:rsid w:val="005321C4"/>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szCs w:val="22"/>
      <w:lang w:eastAsia="de-DE" w:bidi="en-US"/>
    </w:rPr>
  </w:style>
  <w:style w:type="paragraph" w:customStyle="1" w:styleId="MDPI3aequationnumber">
    <w:name w:val="MDPI_3.a_equation_number"/>
    <w:qFormat/>
    <w:rsid w:val="005321C4"/>
    <w:pPr>
      <w:spacing w:before="120" w:after="120"/>
      <w:jc w:val="right"/>
    </w:pPr>
    <w:rPr>
      <w:rFonts w:ascii="Palatino Linotype" w:eastAsia="Times New Roman" w:hAnsi="Palatino Linotype" w:cs="Times New Roman"/>
      <w:snapToGrid w:val="0"/>
      <w:color w:val="000000"/>
      <w:sz w:val="20"/>
      <w:szCs w:val="22"/>
      <w:lang w:eastAsia="de-DE" w:bidi="en-US"/>
    </w:rPr>
  </w:style>
  <w:style w:type="paragraph" w:customStyle="1" w:styleId="MDPI411onetablecaption">
    <w:name w:val="MDPI_4.1.1_one_table_caption"/>
    <w:qFormat/>
    <w:rsid w:val="005321C4"/>
    <w:pPr>
      <w:adjustRightInd w:val="0"/>
      <w:snapToGrid w:val="0"/>
      <w:spacing w:before="240" w:after="120" w:line="260" w:lineRule="atLeast"/>
      <w:jc w:val="center"/>
    </w:pPr>
    <w:rPr>
      <w:rFonts w:ascii="Palatino Linotype" w:eastAsiaTheme="minorEastAsia" w:hAnsi="Palatino Linotype"/>
      <w:noProof/>
      <w:color w:val="000000"/>
      <w:sz w:val="18"/>
      <w:szCs w:val="22"/>
      <w:lang w:eastAsia="zh-CN" w:bidi="en-US"/>
    </w:rPr>
  </w:style>
  <w:style w:type="paragraph" w:customStyle="1" w:styleId="MDPI41tablecaption">
    <w:name w:val="MDPI_4.1_table_caption"/>
    <w:qFormat/>
    <w:rsid w:val="005321C4"/>
    <w:pPr>
      <w:adjustRightInd w:val="0"/>
      <w:snapToGrid w:val="0"/>
      <w:spacing w:before="240" w:after="120" w:line="260" w:lineRule="atLeast"/>
      <w:ind w:left="425" w:right="425"/>
      <w:jc w:val="both"/>
    </w:pPr>
    <w:rPr>
      <w:rFonts w:ascii="Palatino Linotype" w:eastAsia="Times New Roman" w:hAnsi="Palatino Linotype"/>
      <w:color w:val="000000"/>
      <w:sz w:val="18"/>
      <w:szCs w:val="22"/>
      <w:lang w:eastAsia="de-DE" w:bidi="en-US"/>
    </w:rPr>
  </w:style>
  <w:style w:type="table" w:customStyle="1" w:styleId="MDPI41threelinetable">
    <w:name w:val="MDPI_4.1_three_line_table"/>
    <w:basedOn w:val="TableNormal"/>
    <w:uiPriority w:val="99"/>
    <w:rsid w:val="005321C4"/>
    <w:pPr>
      <w:adjustRightInd w:val="0"/>
      <w:snapToGrid w:val="0"/>
      <w:jc w:val="center"/>
    </w:pPr>
    <w:rPr>
      <w:rFonts w:ascii="Palatino Linotype" w:eastAsiaTheme="minorEastAsia" w:hAnsi="Palatino Linotype" w:cs="Times New Roman"/>
      <w:color w:val="000000"/>
      <w:sz w:val="20"/>
      <w:szCs w:val="20"/>
      <w:lang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5321C4"/>
    <w:pPr>
      <w:adjustRightInd w:val="0"/>
      <w:snapToGrid w:val="0"/>
      <w:spacing w:after="240" w:line="260" w:lineRule="atLeast"/>
      <w:jc w:val="both"/>
    </w:pPr>
    <w:rPr>
      <w:rFonts w:ascii="Palatino Linotype" w:eastAsia="Times New Roman" w:hAnsi="Palatino Linotype"/>
      <w:color w:val="000000"/>
      <w:sz w:val="18"/>
      <w:szCs w:val="22"/>
      <w:lang w:eastAsia="de-DE" w:bidi="en-US"/>
    </w:rPr>
  </w:style>
  <w:style w:type="paragraph" w:customStyle="1" w:styleId="MDPI511onefigurecaption">
    <w:name w:val="MDPI_5.1.1_one_figure_caption"/>
    <w:qFormat/>
    <w:rsid w:val="005321C4"/>
    <w:pPr>
      <w:adjustRightInd w:val="0"/>
      <w:snapToGrid w:val="0"/>
      <w:spacing w:before="240" w:after="120" w:line="260" w:lineRule="atLeast"/>
      <w:jc w:val="center"/>
    </w:pPr>
    <w:rPr>
      <w:rFonts w:ascii="Palatino Linotype" w:eastAsiaTheme="minorEastAsia" w:hAnsi="Palatino Linotype" w:cs="Times New Roman"/>
      <w:noProof/>
      <w:color w:val="000000"/>
      <w:sz w:val="18"/>
      <w:szCs w:val="20"/>
      <w:lang w:eastAsia="zh-CN" w:bidi="en-US"/>
    </w:rPr>
  </w:style>
  <w:style w:type="paragraph" w:customStyle="1" w:styleId="MDPI51figurecaption">
    <w:name w:val="MDPI_5.1_figure_caption"/>
    <w:qFormat/>
    <w:rsid w:val="005321C4"/>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eastAsia="de-DE" w:bidi="en-US"/>
    </w:rPr>
  </w:style>
  <w:style w:type="paragraph" w:customStyle="1" w:styleId="MDPI52figure">
    <w:name w:val="MDPI_5.2_figure"/>
    <w:qFormat/>
    <w:rsid w:val="005321C4"/>
    <w:pPr>
      <w:adjustRightInd w:val="0"/>
      <w:snapToGrid w:val="0"/>
      <w:spacing w:before="240" w:after="120" w:line="260" w:lineRule="atLeast"/>
      <w:jc w:val="center"/>
    </w:pPr>
    <w:rPr>
      <w:rFonts w:ascii="Palatino Linotype" w:eastAsia="Times New Roman" w:hAnsi="Palatino Linotype" w:cs="Times New Roman"/>
      <w:snapToGrid w:val="0"/>
      <w:color w:val="000000"/>
      <w:sz w:val="20"/>
      <w:szCs w:val="20"/>
      <w:lang w:eastAsia="de-DE" w:bidi="en-US"/>
    </w:rPr>
  </w:style>
  <w:style w:type="paragraph" w:customStyle="1" w:styleId="MDPI61Supplementary">
    <w:name w:val="MDPI_6.1_Supplementary"/>
    <w:qFormat/>
    <w:rsid w:val="005321C4"/>
    <w:pPr>
      <w:spacing w:before="240" w:line="260" w:lineRule="atLeast"/>
      <w:jc w:val="both"/>
    </w:pPr>
    <w:rPr>
      <w:rFonts w:ascii="Palatino Linotype" w:eastAsia="Times New Roman" w:hAnsi="Palatino Linotype" w:cs="Times New Roman"/>
      <w:snapToGrid w:val="0"/>
      <w:color w:val="000000"/>
      <w:sz w:val="18"/>
      <w:szCs w:val="20"/>
      <w:lang w:bidi="en-US"/>
    </w:rPr>
  </w:style>
  <w:style w:type="paragraph" w:customStyle="1" w:styleId="MDPI62Acknowledgments">
    <w:name w:val="MDPI_6.2_Acknowledgments"/>
    <w:qFormat/>
    <w:rsid w:val="005321C4"/>
    <w:pPr>
      <w:adjustRightInd w:val="0"/>
      <w:snapToGrid w:val="0"/>
      <w:spacing w:before="120" w:line="20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63AuthorContributions">
    <w:name w:val="MDPI_6.3_AuthorContributions"/>
    <w:qFormat/>
    <w:rsid w:val="005321C4"/>
    <w:pPr>
      <w:spacing w:line="260" w:lineRule="atLeast"/>
      <w:jc w:val="both"/>
    </w:pPr>
    <w:rPr>
      <w:rFonts w:ascii="Palatino Linotype" w:hAnsi="Palatino Linotype" w:cs="Times New Roman"/>
      <w:snapToGrid w:val="0"/>
      <w:sz w:val="18"/>
      <w:szCs w:val="20"/>
      <w:lang w:bidi="en-US"/>
    </w:rPr>
  </w:style>
  <w:style w:type="paragraph" w:customStyle="1" w:styleId="MDPI64CoI">
    <w:name w:val="MDPI_6.4_CoI"/>
    <w:qFormat/>
    <w:rsid w:val="005321C4"/>
    <w:pPr>
      <w:adjustRightInd w:val="0"/>
      <w:snapToGrid w:val="0"/>
      <w:spacing w:before="120" w:after="120" w:line="26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72Copyright">
    <w:name w:val="MDPI_7.2_Copyright"/>
    <w:qFormat/>
    <w:rsid w:val="005321C4"/>
    <w:pPr>
      <w:adjustRightInd w:val="0"/>
      <w:snapToGrid w:val="0"/>
      <w:spacing w:before="400" w:line="260" w:lineRule="atLeast"/>
      <w:jc w:val="both"/>
    </w:pPr>
    <w:rPr>
      <w:rFonts w:ascii="Palatino Linotype" w:eastAsia="Times New Roman" w:hAnsi="Palatino Linotype" w:cs="Times New Roman"/>
      <w:noProof/>
      <w:snapToGrid w:val="0"/>
      <w:color w:val="000000"/>
      <w:spacing w:val="-2"/>
      <w:sz w:val="18"/>
      <w:szCs w:val="20"/>
      <w:lang w:val="en-GB" w:eastAsia="en-GB"/>
    </w:rPr>
  </w:style>
  <w:style w:type="paragraph" w:customStyle="1" w:styleId="MDPI73CopyrightImage">
    <w:name w:val="MDPI_7.3_CopyrightImage"/>
    <w:rsid w:val="005321C4"/>
    <w:pPr>
      <w:adjustRightInd w:val="0"/>
      <w:snapToGrid w:val="0"/>
      <w:spacing w:after="100" w:line="260" w:lineRule="atLeast"/>
      <w:jc w:val="right"/>
    </w:pPr>
    <w:rPr>
      <w:rFonts w:ascii="Palatino Linotype" w:eastAsia="Times New Roman" w:hAnsi="Palatino Linotype" w:cs="Times New Roman"/>
      <w:color w:val="000000"/>
      <w:sz w:val="20"/>
      <w:szCs w:val="20"/>
      <w:lang w:eastAsia="de-CH"/>
    </w:rPr>
  </w:style>
  <w:style w:type="paragraph" w:customStyle="1" w:styleId="MDPI81theorem">
    <w:name w:val="MDPI_8.1_theorem"/>
    <w:qFormat/>
    <w:rsid w:val="005321C4"/>
    <w:pPr>
      <w:spacing w:line="260" w:lineRule="atLeast"/>
      <w:jc w:val="both"/>
    </w:pPr>
    <w:rPr>
      <w:rFonts w:ascii="Palatino Linotype" w:eastAsia="Times New Roman" w:hAnsi="Palatino Linotype" w:cs="Times New Roman"/>
      <w:i/>
      <w:snapToGrid w:val="0"/>
      <w:color w:val="000000"/>
      <w:sz w:val="20"/>
      <w:szCs w:val="22"/>
      <w:lang w:eastAsia="de-DE" w:bidi="en-US"/>
    </w:rPr>
  </w:style>
  <w:style w:type="paragraph" w:customStyle="1" w:styleId="MDPI82proof">
    <w:name w:val="MDPI_8.2_proof"/>
    <w:qFormat/>
    <w:rsid w:val="005321C4"/>
    <w:pPr>
      <w:spacing w:line="260" w:lineRule="atLeast"/>
      <w:jc w:val="both"/>
    </w:pPr>
    <w:rPr>
      <w:rFonts w:ascii="Palatino Linotype" w:eastAsia="Times New Roman" w:hAnsi="Palatino Linotype" w:cs="Times New Roman"/>
      <w:snapToGrid w:val="0"/>
      <w:color w:val="000000"/>
      <w:sz w:val="20"/>
      <w:szCs w:val="22"/>
      <w:lang w:eastAsia="de-DE" w:bidi="en-US"/>
    </w:rPr>
  </w:style>
  <w:style w:type="paragraph" w:customStyle="1" w:styleId="MDPIequationFram">
    <w:name w:val="MDPI_equationFram"/>
    <w:qFormat/>
    <w:rsid w:val="005321C4"/>
    <w:pPr>
      <w:adjustRightInd w:val="0"/>
      <w:snapToGrid w:val="0"/>
      <w:spacing w:before="120" w:after="120"/>
      <w:jc w:val="center"/>
    </w:pPr>
    <w:rPr>
      <w:rFonts w:ascii="Palatino Linotype" w:eastAsia="Times New Roman" w:hAnsi="Palatino Linotype" w:cs="Times New Roman"/>
      <w:snapToGrid w:val="0"/>
      <w:color w:val="000000"/>
      <w:sz w:val="20"/>
      <w:szCs w:val="22"/>
      <w:lang w:eastAsia="de-DE" w:bidi="en-US"/>
    </w:rPr>
  </w:style>
  <w:style w:type="paragraph" w:customStyle="1" w:styleId="MDPIfooter">
    <w:name w:val="MDPI_footer"/>
    <w:qFormat/>
    <w:rsid w:val="005321C4"/>
    <w:pPr>
      <w:adjustRightInd w:val="0"/>
      <w:snapToGrid w:val="0"/>
      <w:spacing w:before="120" w:line="260" w:lineRule="atLeast"/>
      <w:jc w:val="center"/>
    </w:pPr>
    <w:rPr>
      <w:rFonts w:ascii="Palatino Linotype" w:eastAsia="Times New Roman" w:hAnsi="Palatino Linotype" w:cs="Times New Roman"/>
      <w:color w:val="000000"/>
      <w:sz w:val="20"/>
      <w:szCs w:val="20"/>
      <w:lang w:eastAsia="de-DE"/>
    </w:rPr>
  </w:style>
  <w:style w:type="paragraph" w:customStyle="1" w:styleId="MDPIfooterfirstpage">
    <w:name w:val="MDPI_footer_firstpage"/>
    <w:qFormat/>
    <w:rsid w:val="005321C4"/>
    <w:pPr>
      <w:tabs>
        <w:tab w:val="right" w:pos="8845"/>
      </w:tabs>
      <w:spacing w:line="160" w:lineRule="exact"/>
    </w:pPr>
    <w:rPr>
      <w:rFonts w:ascii="Palatino Linotype" w:eastAsia="Times New Roman" w:hAnsi="Palatino Linotype" w:cs="Times New Roman"/>
      <w:color w:val="000000"/>
      <w:sz w:val="16"/>
      <w:szCs w:val="20"/>
      <w:lang w:eastAsia="de-DE"/>
    </w:rPr>
  </w:style>
  <w:style w:type="paragraph" w:customStyle="1" w:styleId="MDPIheader">
    <w:name w:val="MDPI_header"/>
    <w:qFormat/>
    <w:rsid w:val="005321C4"/>
    <w:pPr>
      <w:adjustRightInd w:val="0"/>
      <w:snapToGrid w:val="0"/>
      <w:spacing w:after="240" w:line="260" w:lineRule="atLeast"/>
      <w:jc w:val="both"/>
    </w:pPr>
    <w:rPr>
      <w:rFonts w:ascii="Palatino Linotype" w:eastAsia="Times New Roman" w:hAnsi="Palatino Linotype" w:cs="Times New Roman"/>
      <w:iCs/>
      <w:color w:val="000000"/>
      <w:sz w:val="16"/>
      <w:szCs w:val="20"/>
      <w:lang w:eastAsia="de-DE"/>
    </w:rPr>
  </w:style>
  <w:style w:type="paragraph" w:customStyle="1" w:styleId="MDPIheadercitation">
    <w:name w:val="MDPI_header_citation"/>
    <w:rsid w:val="005321C4"/>
    <w:pPr>
      <w:spacing w:after="240"/>
    </w:pPr>
    <w:rPr>
      <w:rFonts w:ascii="Palatino Linotype" w:eastAsia="Times New Roman" w:hAnsi="Palatino Linotype" w:cs="Times New Roman"/>
      <w:snapToGrid w:val="0"/>
      <w:color w:val="000000"/>
      <w:sz w:val="18"/>
      <w:szCs w:val="20"/>
      <w:lang w:eastAsia="de-DE" w:bidi="en-US"/>
    </w:rPr>
  </w:style>
  <w:style w:type="paragraph" w:customStyle="1" w:styleId="MDPIheaderjournallogo">
    <w:name w:val="MDPI_header_journal_logo"/>
    <w:qFormat/>
    <w:rsid w:val="005321C4"/>
    <w:pPr>
      <w:adjustRightInd w:val="0"/>
      <w:snapToGrid w:val="0"/>
      <w:spacing w:line="260" w:lineRule="atLeast"/>
      <w:jc w:val="both"/>
    </w:pPr>
    <w:rPr>
      <w:rFonts w:ascii="Palatino Linotype" w:eastAsia="Times New Roman" w:hAnsi="Palatino Linotype" w:cs="Times New Roman"/>
      <w:i/>
      <w:color w:val="000000"/>
      <w:szCs w:val="22"/>
      <w:lang w:eastAsia="de-CH"/>
    </w:rPr>
  </w:style>
  <w:style w:type="paragraph" w:customStyle="1" w:styleId="MDPIheadermdpilogo">
    <w:name w:val="MDPI_header_mdpi_logo"/>
    <w:qFormat/>
    <w:rsid w:val="005321C4"/>
    <w:pPr>
      <w:adjustRightInd w:val="0"/>
      <w:snapToGrid w:val="0"/>
      <w:spacing w:line="260" w:lineRule="atLeast"/>
      <w:jc w:val="right"/>
    </w:pPr>
    <w:rPr>
      <w:rFonts w:ascii="Palatino Linotype" w:eastAsia="Times New Roman" w:hAnsi="Palatino Linotype" w:cs="Times New Roman"/>
      <w:color w:val="000000"/>
      <w:szCs w:val="22"/>
      <w:lang w:eastAsia="de-CH"/>
    </w:rPr>
  </w:style>
  <w:style w:type="paragraph" w:customStyle="1" w:styleId="MDPItext">
    <w:name w:val="MDPI_text"/>
    <w:qFormat/>
    <w:rsid w:val="005321C4"/>
    <w:pPr>
      <w:spacing w:line="260" w:lineRule="atLeast"/>
      <w:ind w:left="425" w:right="425" w:firstLine="284"/>
      <w:jc w:val="both"/>
    </w:pPr>
    <w:rPr>
      <w:rFonts w:ascii="Times New Roman" w:eastAsia="Times New Roman" w:hAnsi="Times New Roman" w:cs="Times New Roman"/>
      <w:noProof/>
      <w:snapToGrid w:val="0"/>
      <w:color w:val="000000"/>
      <w:sz w:val="22"/>
      <w:szCs w:val="22"/>
      <w:lang w:eastAsia="de-DE" w:bidi="en-US"/>
    </w:rPr>
  </w:style>
  <w:style w:type="paragraph" w:customStyle="1" w:styleId="MDPItitle">
    <w:name w:val="MDPI_title"/>
    <w:qFormat/>
    <w:rsid w:val="005321C4"/>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eastAsia="de-DE" w:bidi="en-US"/>
    </w:rPr>
  </w:style>
  <w:style w:type="character" w:styleId="CommentReference">
    <w:name w:val="annotation reference"/>
    <w:basedOn w:val="DefaultParagraphFont"/>
    <w:uiPriority w:val="99"/>
    <w:semiHidden/>
    <w:unhideWhenUsed/>
    <w:rsid w:val="0034584D"/>
    <w:rPr>
      <w:sz w:val="16"/>
      <w:szCs w:val="16"/>
    </w:rPr>
  </w:style>
  <w:style w:type="paragraph" w:styleId="CommentText">
    <w:name w:val="annotation text"/>
    <w:basedOn w:val="Normal"/>
    <w:link w:val="CommentTextChar"/>
    <w:uiPriority w:val="99"/>
    <w:semiHidden/>
    <w:unhideWhenUsed/>
    <w:rsid w:val="0034584D"/>
    <w:rPr>
      <w:sz w:val="20"/>
      <w:szCs w:val="20"/>
    </w:rPr>
  </w:style>
  <w:style w:type="character" w:customStyle="1" w:styleId="CommentTextChar">
    <w:name w:val="Comment Text Char"/>
    <w:basedOn w:val="DefaultParagraphFont"/>
    <w:link w:val="CommentText"/>
    <w:uiPriority w:val="99"/>
    <w:semiHidden/>
    <w:rsid w:val="0034584D"/>
    <w:rPr>
      <w:sz w:val="20"/>
      <w:szCs w:val="20"/>
    </w:rPr>
  </w:style>
  <w:style w:type="paragraph" w:styleId="CommentSubject">
    <w:name w:val="annotation subject"/>
    <w:basedOn w:val="CommentText"/>
    <w:next w:val="CommentText"/>
    <w:link w:val="CommentSubjectChar"/>
    <w:uiPriority w:val="99"/>
    <w:semiHidden/>
    <w:unhideWhenUsed/>
    <w:rsid w:val="0034584D"/>
    <w:rPr>
      <w:b/>
      <w:bCs/>
    </w:rPr>
  </w:style>
  <w:style w:type="character" w:customStyle="1" w:styleId="CommentSubjectChar">
    <w:name w:val="Comment Subject Char"/>
    <w:basedOn w:val="CommentTextChar"/>
    <w:link w:val="CommentSubject"/>
    <w:uiPriority w:val="99"/>
    <w:semiHidden/>
    <w:rsid w:val="0034584D"/>
    <w:rPr>
      <w:b/>
      <w:bCs/>
      <w:sz w:val="20"/>
      <w:szCs w:val="20"/>
    </w:rPr>
  </w:style>
  <w:style w:type="paragraph" w:styleId="ListParagraph">
    <w:name w:val="List Paragraph"/>
    <w:basedOn w:val="Normal"/>
    <w:uiPriority w:val="34"/>
    <w:qFormat/>
    <w:rsid w:val="00E965B1"/>
    <w:pPr>
      <w:ind w:left="720"/>
      <w:contextualSpacing/>
    </w:pPr>
  </w:style>
  <w:style w:type="paragraph" w:styleId="Revision">
    <w:name w:val="Revision"/>
    <w:hidden/>
    <w:uiPriority w:val="99"/>
    <w:semiHidden/>
    <w:rsid w:val="00505A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654720">
      <w:bodyDiv w:val="1"/>
      <w:marLeft w:val="0"/>
      <w:marRight w:val="0"/>
      <w:marTop w:val="0"/>
      <w:marBottom w:val="0"/>
      <w:divBdr>
        <w:top w:val="none" w:sz="0" w:space="0" w:color="auto"/>
        <w:left w:val="none" w:sz="0" w:space="0" w:color="auto"/>
        <w:bottom w:val="none" w:sz="0" w:space="0" w:color="auto"/>
        <w:right w:val="none" w:sz="0" w:space="0" w:color="auto"/>
      </w:divBdr>
    </w:div>
    <w:div w:id="284695533">
      <w:bodyDiv w:val="1"/>
      <w:marLeft w:val="0"/>
      <w:marRight w:val="0"/>
      <w:marTop w:val="0"/>
      <w:marBottom w:val="0"/>
      <w:divBdr>
        <w:top w:val="none" w:sz="0" w:space="0" w:color="auto"/>
        <w:left w:val="none" w:sz="0" w:space="0" w:color="auto"/>
        <w:bottom w:val="none" w:sz="0" w:space="0" w:color="auto"/>
        <w:right w:val="none" w:sz="0" w:space="0" w:color="auto"/>
      </w:divBdr>
    </w:div>
    <w:div w:id="1055662672">
      <w:bodyDiv w:val="1"/>
      <w:marLeft w:val="0"/>
      <w:marRight w:val="0"/>
      <w:marTop w:val="0"/>
      <w:marBottom w:val="0"/>
      <w:divBdr>
        <w:top w:val="none" w:sz="0" w:space="0" w:color="auto"/>
        <w:left w:val="none" w:sz="0" w:space="0" w:color="auto"/>
        <w:bottom w:val="none" w:sz="0" w:space="0" w:color="auto"/>
        <w:right w:val="none" w:sz="0" w:space="0" w:color="auto"/>
      </w:divBdr>
    </w:div>
    <w:div w:id="1074475051">
      <w:bodyDiv w:val="1"/>
      <w:marLeft w:val="0"/>
      <w:marRight w:val="0"/>
      <w:marTop w:val="0"/>
      <w:marBottom w:val="0"/>
      <w:divBdr>
        <w:top w:val="none" w:sz="0" w:space="0" w:color="auto"/>
        <w:left w:val="none" w:sz="0" w:space="0" w:color="auto"/>
        <w:bottom w:val="none" w:sz="0" w:space="0" w:color="auto"/>
        <w:right w:val="none" w:sz="0" w:space="0" w:color="auto"/>
      </w:divBdr>
      <w:divsChild>
        <w:div w:id="798497249">
          <w:marLeft w:val="0"/>
          <w:marRight w:val="0"/>
          <w:marTop w:val="0"/>
          <w:marBottom w:val="0"/>
          <w:divBdr>
            <w:top w:val="none" w:sz="0" w:space="0" w:color="auto"/>
            <w:left w:val="none" w:sz="0" w:space="0" w:color="auto"/>
            <w:bottom w:val="none" w:sz="0" w:space="0" w:color="auto"/>
            <w:right w:val="none" w:sz="0" w:space="0" w:color="auto"/>
          </w:divBdr>
          <w:divsChild>
            <w:div w:id="1137332441">
              <w:marLeft w:val="0"/>
              <w:marRight w:val="0"/>
              <w:marTop w:val="0"/>
              <w:marBottom w:val="0"/>
              <w:divBdr>
                <w:top w:val="none" w:sz="0" w:space="0" w:color="auto"/>
                <w:left w:val="none" w:sz="0" w:space="0" w:color="auto"/>
                <w:bottom w:val="none" w:sz="0" w:space="0" w:color="auto"/>
                <w:right w:val="none" w:sz="0" w:space="0" w:color="auto"/>
              </w:divBdr>
            </w:div>
            <w:div w:id="734862135">
              <w:marLeft w:val="0"/>
              <w:marRight w:val="0"/>
              <w:marTop w:val="0"/>
              <w:marBottom w:val="0"/>
              <w:divBdr>
                <w:top w:val="none" w:sz="0" w:space="0" w:color="auto"/>
                <w:left w:val="none" w:sz="0" w:space="0" w:color="auto"/>
                <w:bottom w:val="none" w:sz="0" w:space="0" w:color="auto"/>
                <w:right w:val="none" w:sz="0" w:space="0" w:color="auto"/>
              </w:divBdr>
            </w:div>
          </w:divsChild>
        </w:div>
        <w:div w:id="784620503">
          <w:marLeft w:val="0"/>
          <w:marRight w:val="0"/>
          <w:marTop w:val="0"/>
          <w:marBottom w:val="0"/>
          <w:divBdr>
            <w:top w:val="none" w:sz="0" w:space="0" w:color="auto"/>
            <w:left w:val="none" w:sz="0" w:space="0" w:color="auto"/>
            <w:bottom w:val="none" w:sz="0" w:space="0" w:color="auto"/>
            <w:right w:val="none" w:sz="0" w:space="0" w:color="auto"/>
          </w:divBdr>
          <w:divsChild>
            <w:div w:id="1701927521">
              <w:marLeft w:val="0"/>
              <w:marRight w:val="0"/>
              <w:marTop w:val="0"/>
              <w:marBottom w:val="0"/>
              <w:divBdr>
                <w:top w:val="none" w:sz="0" w:space="0" w:color="auto"/>
                <w:left w:val="none" w:sz="0" w:space="0" w:color="auto"/>
                <w:bottom w:val="none" w:sz="0" w:space="0" w:color="auto"/>
                <w:right w:val="none" w:sz="0" w:space="0" w:color="auto"/>
              </w:divBdr>
            </w:div>
            <w:div w:id="1305350793">
              <w:marLeft w:val="0"/>
              <w:marRight w:val="0"/>
              <w:marTop w:val="0"/>
              <w:marBottom w:val="0"/>
              <w:divBdr>
                <w:top w:val="none" w:sz="0" w:space="0" w:color="auto"/>
                <w:left w:val="none" w:sz="0" w:space="0" w:color="auto"/>
                <w:bottom w:val="none" w:sz="0" w:space="0" w:color="auto"/>
                <w:right w:val="none" w:sz="0" w:space="0" w:color="auto"/>
              </w:divBdr>
            </w:div>
          </w:divsChild>
        </w:div>
        <w:div w:id="600915857">
          <w:marLeft w:val="0"/>
          <w:marRight w:val="0"/>
          <w:marTop w:val="0"/>
          <w:marBottom w:val="0"/>
          <w:divBdr>
            <w:top w:val="none" w:sz="0" w:space="0" w:color="auto"/>
            <w:left w:val="none" w:sz="0" w:space="0" w:color="auto"/>
            <w:bottom w:val="none" w:sz="0" w:space="0" w:color="auto"/>
            <w:right w:val="none" w:sz="0" w:space="0" w:color="auto"/>
          </w:divBdr>
          <w:divsChild>
            <w:div w:id="1554198755">
              <w:marLeft w:val="0"/>
              <w:marRight w:val="0"/>
              <w:marTop w:val="0"/>
              <w:marBottom w:val="0"/>
              <w:divBdr>
                <w:top w:val="none" w:sz="0" w:space="0" w:color="auto"/>
                <w:left w:val="none" w:sz="0" w:space="0" w:color="auto"/>
                <w:bottom w:val="none" w:sz="0" w:space="0" w:color="auto"/>
                <w:right w:val="none" w:sz="0" w:space="0" w:color="auto"/>
              </w:divBdr>
            </w:div>
            <w:div w:id="399866386">
              <w:marLeft w:val="0"/>
              <w:marRight w:val="0"/>
              <w:marTop w:val="0"/>
              <w:marBottom w:val="0"/>
              <w:divBdr>
                <w:top w:val="none" w:sz="0" w:space="0" w:color="auto"/>
                <w:left w:val="none" w:sz="0" w:space="0" w:color="auto"/>
                <w:bottom w:val="none" w:sz="0" w:space="0" w:color="auto"/>
                <w:right w:val="none" w:sz="0" w:space="0" w:color="auto"/>
              </w:divBdr>
            </w:div>
          </w:divsChild>
        </w:div>
        <w:div w:id="1017803557">
          <w:marLeft w:val="0"/>
          <w:marRight w:val="0"/>
          <w:marTop w:val="0"/>
          <w:marBottom w:val="0"/>
          <w:divBdr>
            <w:top w:val="none" w:sz="0" w:space="0" w:color="auto"/>
            <w:left w:val="none" w:sz="0" w:space="0" w:color="auto"/>
            <w:bottom w:val="none" w:sz="0" w:space="0" w:color="auto"/>
            <w:right w:val="none" w:sz="0" w:space="0" w:color="auto"/>
          </w:divBdr>
          <w:divsChild>
            <w:div w:id="851915074">
              <w:marLeft w:val="0"/>
              <w:marRight w:val="0"/>
              <w:marTop w:val="0"/>
              <w:marBottom w:val="0"/>
              <w:divBdr>
                <w:top w:val="none" w:sz="0" w:space="0" w:color="auto"/>
                <w:left w:val="none" w:sz="0" w:space="0" w:color="auto"/>
                <w:bottom w:val="none" w:sz="0" w:space="0" w:color="auto"/>
                <w:right w:val="none" w:sz="0" w:space="0" w:color="auto"/>
              </w:divBdr>
            </w:div>
            <w:div w:id="1444614457">
              <w:marLeft w:val="0"/>
              <w:marRight w:val="0"/>
              <w:marTop w:val="0"/>
              <w:marBottom w:val="0"/>
              <w:divBdr>
                <w:top w:val="none" w:sz="0" w:space="0" w:color="auto"/>
                <w:left w:val="none" w:sz="0" w:space="0" w:color="auto"/>
                <w:bottom w:val="none" w:sz="0" w:space="0" w:color="auto"/>
                <w:right w:val="none" w:sz="0" w:space="0" w:color="auto"/>
              </w:divBdr>
            </w:div>
          </w:divsChild>
        </w:div>
        <w:div w:id="120467860">
          <w:marLeft w:val="0"/>
          <w:marRight w:val="0"/>
          <w:marTop w:val="0"/>
          <w:marBottom w:val="0"/>
          <w:divBdr>
            <w:top w:val="none" w:sz="0" w:space="0" w:color="auto"/>
            <w:left w:val="none" w:sz="0" w:space="0" w:color="auto"/>
            <w:bottom w:val="none" w:sz="0" w:space="0" w:color="auto"/>
            <w:right w:val="none" w:sz="0" w:space="0" w:color="auto"/>
          </w:divBdr>
          <w:divsChild>
            <w:div w:id="102920699">
              <w:marLeft w:val="0"/>
              <w:marRight w:val="0"/>
              <w:marTop w:val="0"/>
              <w:marBottom w:val="0"/>
              <w:divBdr>
                <w:top w:val="none" w:sz="0" w:space="0" w:color="auto"/>
                <w:left w:val="none" w:sz="0" w:space="0" w:color="auto"/>
                <w:bottom w:val="none" w:sz="0" w:space="0" w:color="auto"/>
                <w:right w:val="none" w:sz="0" w:space="0" w:color="auto"/>
              </w:divBdr>
            </w:div>
            <w:div w:id="1588534014">
              <w:marLeft w:val="0"/>
              <w:marRight w:val="0"/>
              <w:marTop w:val="0"/>
              <w:marBottom w:val="0"/>
              <w:divBdr>
                <w:top w:val="none" w:sz="0" w:space="0" w:color="auto"/>
                <w:left w:val="none" w:sz="0" w:space="0" w:color="auto"/>
                <w:bottom w:val="none" w:sz="0" w:space="0" w:color="auto"/>
                <w:right w:val="none" w:sz="0" w:space="0" w:color="auto"/>
              </w:divBdr>
            </w:div>
          </w:divsChild>
        </w:div>
        <w:div w:id="49692279">
          <w:marLeft w:val="0"/>
          <w:marRight w:val="0"/>
          <w:marTop w:val="0"/>
          <w:marBottom w:val="0"/>
          <w:divBdr>
            <w:top w:val="none" w:sz="0" w:space="0" w:color="auto"/>
            <w:left w:val="none" w:sz="0" w:space="0" w:color="auto"/>
            <w:bottom w:val="none" w:sz="0" w:space="0" w:color="auto"/>
            <w:right w:val="none" w:sz="0" w:space="0" w:color="auto"/>
          </w:divBdr>
          <w:divsChild>
            <w:div w:id="468284977">
              <w:marLeft w:val="0"/>
              <w:marRight w:val="0"/>
              <w:marTop w:val="0"/>
              <w:marBottom w:val="0"/>
              <w:divBdr>
                <w:top w:val="none" w:sz="0" w:space="0" w:color="auto"/>
                <w:left w:val="none" w:sz="0" w:space="0" w:color="auto"/>
                <w:bottom w:val="none" w:sz="0" w:space="0" w:color="auto"/>
                <w:right w:val="none" w:sz="0" w:space="0" w:color="auto"/>
              </w:divBdr>
            </w:div>
            <w:div w:id="1310206335">
              <w:marLeft w:val="0"/>
              <w:marRight w:val="0"/>
              <w:marTop w:val="0"/>
              <w:marBottom w:val="0"/>
              <w:divBdr>
                <w:top w:val="none" w:sz="0" w:space="0" w:color="auto"/>
                <w:left w:val="none" w:sz="0" w:space="0" w:color="auto"/>
                <w:bottom w:val="none" w:sz="0" w:space="0" w:color="auto"/>
                <w:right w:val="none" w:sz="0" w:space="0" w:color="auto"/>
              </w:divBdr>
            </w:div>
          </w:divsChild>
        </w:div>
        <w:div w:id="862939132">
          <w:marLeft w:val="0"/>
          <w:marRight w:val="0"/>
          <w:marTop w:val="0"/>
          <w:marBottom w:val="0"/>
          <w:divBdr>
            <w:top w:val="none" w:sz="0" w:space="0" w:color="auto"/>
            <w:left w:val="none" w:sz="0" w:space="0" w:color="auto"/>
            <w:bottom w:val="none" w:sz="0" w:space="0" w:color="auto"/>
            <w:right w:val="none" w:sz="0" w:space="0" w:color="auto"/>
          </w:divBdr>
          <w:divsChild>
            <w:div w:id="2034335226">
              <w:marLeft w:val="0"/>
              <w:marRight w:val="0"/>
              <w:marTop w:val="0"/>
              <w:marBottom w:val="0"/>
              <w:divBdr>
                <w:top w:val="none" w:sz="0" w:space="0" w:color="auto"/>
                <w:left w:val="none" w:sz="0" w:space="0" w:color="auto"/>
                <w:bottom w:val="none" w:sz="0" w:space="0" w:color="auto"/>
                <w:right w:val="none" w:sz="0" w:space="0" w:color="auto"/>
              </w:divBdr>
            </w:div>
            <w:div w:id="185295513">
              <w:marLeft w:val="0"/>
              <w:marRight w:val="0"/>
              <w:marTop w:val="0"/>
              <w:marBottom w:val="0"/>
              <w:divBdr>
                <w:top w:val="none" w:sz="0" w:space="0" w:color="auto"/>
                <w:left w:val="none" w:sz="0" w:space="0" w:color="auto"/>
                <w:bottom w:val="none" w:sz="0" w:space="0" w:color="auto"/>
                <w:right w:val="none" w:sz="0" w:space="0" w:color="auto"/>
              </w:divBdr>
            </w:div>
          </w:divsChild>
        </w:div>
        <w:div w:id="1536506632">
          <w:marLeft w:val="0"/>
          <w:marRight w:val="0"/>
          <w:marTop w:val="0"/>
          <w:marBottom w:val="0"/>
          <w:divBdr>
            <w:top w:val="none" w:sz="0" w:space="0" w:color="auto"/>
            <w:left w:val="none" w:sz="0" w:space="0" w:color="auto"/>
            <w:bottom w:val="none" w:sz="0" w:space="0" w:color="auto"/>
            <w:right w:val="none" w:sz="0" w:space="0" w:color="auto"/>
          </w:divBdr>
          <w:divsChild>
            <w:div w:id="1640038821">
              <w:marLeft w:val="0"/>
              <w:marRight w:val="0"/>
              <w:marTop w:val="0"/>
              <w:marBottom w:val="0"/>
              <w:divBdr>
                <w:top w:val="none" w:sz="0" w:space="0" w:color="auto"/>
                <w:left w:val="none" w:sz="0" w:space="0" w:color="auto"/>
                <w:bottom w:val="none" w:sz="0" w:space="0" w:color="auto"/>
                <w:right w:val="none" w:sz="0" w:space="0" w:color="auto"/>
              </w:divBdr>
            </w:div>
            <w:div w:id="302542688">
              <w:marLeft w:val="0"/>
              <w:marRight w:val="0"/>
              <w:marTop w:val="0"/>
              <w:marBottom w:val="0"/>
              <w:divBdr>
                <w:top w:val="none" w:sz="0" w:space="0" w:color="auto"/>
                <w:left w:val="none" w:sz="0" w:space="0" w:color="auto"/>
                <w:bottom w:val="none" w:sz="0" w:space="0" w:color="auto"/>
                <w:right w:val="none" w:sz="0" w:space="0" w:color="auto"/>
              </w:divBdr>
            </w:div>
          </w:divsChild>
        </w:div>
        <w:div w:id="1676685922">
          <w:marLeft w:val="0"/>
          <w:marRight w:val="0"/>
          <w:marTop w:val="0"/>
          <w:marBottom w:val="0"/>
          <w:divBdr>
            <w:top w:val="none" w:sz="0" w:space="0" w:color="auto"/>
            <w:left w:val="none" w:sz="0" w:space="0" w:color="auto"/>
            <w:bottom w:val="none" w:sz="0" w:space="0" w:color="auto"/>
            <w:right w:val="none" w:sz="0" w:space="0" w:color="auto"/>
          </w:divBdr>
          <w:divsChild>
            <w:div w:id="1053235400">
              <w:marLeft w:val="0"/>
              <w:marRight w:val="0"/>
              <w:marTop w:val="0"/>
              <w:marBottom w:val="0"/>
              <w:divBdr>
                <w:top w:val="none" w:sz="0" w:space="0" w:color="auto"/>
                <w:left w:val="none" w:sz="0" w:space="0" w:color="auto"/>
                <w:bottom w:val="none" w:sz="0" w:space="0" w:color="auto"/>
                <w:right w:val="none" w:sz="0" w:space="0" w:color="auto"/>
              </w:divBdr>
            </w:div>
            <w:div w:id="780878278">
              <w:marLeft w:val="0"/>
              <w:marRight w:val="0"/>
              <w:marTop w:val="0"/>
              <w:marBottom w:val="0"/>
              <w:divBdr>
                <w:top w:val="none" w:sz="0" w:space="0" w:color="auto"/>
                <w:left w:val="none" w:sz="0" w:space="0" w:color="auto"/>
                <w:bottom w:val="none" w:sz="0" w:space="0" w:color="auto"/>
                <w:right w:val="none" w:sz="0" w:space="0" w:color="auto"/>
              </w:divBdr>
            </w:div>
          </w:divsChild>
        </w:div>
        <w:div w:id="541358620">
          <w:marLeft w:val="0"/>
          <w:marRight w:val="0"/>
          <w:marTop w:val="0"/>
          <w:marBottom w:val="0"/>
          <w:divBdr>
            <w:top w:val="none" w:sz="0" w:space="0" w:color="auto"/>
            <w:left w:val="none" w:sz="0" w:space="0" w:color="auto"/>
            <w:bottom w:val="none" w:sz="0" w:space="0" w:color="auto"/>
            <w:right w:val="none" w:sz="0" w:space="0" w:color="auto"/>
          </w:divBdr>
          <w:divsChild>
            <w:div w:id="1875147337">
              <w:marLeft w:val="0"/>
              <w:marRight w:val="0"/>
              <w:marTop w:val="0"/>
              <w:marBottom w:val="0"/>
              <w:divBdr>
                <w:top w:val="none" w:sz="0" w:space="0" w:color="auto"/>
                <w:left w:val="none" w:sz="0" w:space="0" w:color="auto"/>
                <w:bottom w:val="none" w:sz="0" w:space="0" w:color="auto"/>
                <w:right w:val="none" w:sz="0" w:space="0" w:color="auto"/>
              </w:divBdr>
            </w:div>
            <w:div w:id="2008703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775977">
      <w:bodyDiv w:val="1"/>
      <w:marLeft w:val="0"/>
      <w:marRight w:val="0"/>
      <w:marTop w:val="0"/>
      <w:marBottom w:val="0"/>
      <w:divBdr>
        <w:top w:val="none" w:sz="0" w:space="0" w:color="auto"/>
        <w:left w:val="none" w:sz="0" w:space="0" w:color="auto"/>
        <w:bottom w:val="none" w:sz="0" w:space="0" w:color="auto"/>
        <w:right w:val="none" w:sz="0" w:space="0" w:color="auto"/>
      </w:divBdr>
    </w:div>
    <w:div w:id="1224293984">
      <w:bodyDiv w:val="1"/>
      <w:marLeft w:val="0"/>
      <w:marRight w:val="0"/>
      <w:marTop w:val="0"/>
      <w:marBottom w:val="0"/>
      <w:divBdr>
        <w:top w:val="none" w:sz="0" w:space="0" w:color="auto"/>
        <w:left w:val="none" w:sz="0" w:space="0" w:color="auto"/>
        <w:bottom w:val="none" w:sz="0" w:space="0" w:color="auto"/>
        <w:right w:val="none" w:sz="0" w:space="0" w:color="auto"/>
      </w:divBdr>
    </w:div>
    <w:div w:id="1428237315">
      <w:bodyDiv w:val="1"/>
      <w:marLeft w:val="0"/>
      <w:marRight w:val="0"/>
      <w:marTop w:val="0"/>
      <w:marBottom w:val="0"/>
      <w:divBdr>
        <w:top w:val="none" w:sz="0" w:space="0" w:color="auto"/>
        <w:left w:val="none" w:sz="0" w:space="0" w:color="auto"/>
        <w:bottom w:val="none" w:sz="0" w:space="0" w:color="auto"/>
        <w:right w:val="none" w:sz="0" w:space="0" w:color="auto"/>
      </w:divBdr>
    </w:div>
    <w:div w:id="1749960540">
      <w:bodyDiv w:val="1"/>
      <w:marLeft w:val="0"/>
      <w:marRight w:val="0"/>
      <w:marTop w:val="0"/>
      <w:marBottom w:val="0"/>
      <w:divBdr>
        <w:top w:val="none" w:sz="0" w:space="0" w:color="auto"/>
        <w:left w:val="none" w:sz="0" w:space="0" w:color="auto"/>
        <w:bottom w:val="none" w:sz="0" w:space="0" w:color="auto"/>
        <w:right w:val="none" w:sz="0" w:space="0" w:color="auto"/>
      </w:divBdr>
    </w:div>
    <w:div w:id="1852793253">
      <w:bodyDiv w:val="1"/>
      <w:marLeft w:val="0"/>
      <w:marRight w:val="0"/>
      <w:marTop w:val="0"/>
      <w:marBottom w:val="0"/>
      <w:divBdr>
        <w:top w:val="none" w:sz="0" w:space="0" w:color="auto"/>
        <w:left w:val="none" w:sz="0" w:space="0" w:color="auto"/>
        <w:bottom w:val="none" w:sz="0" w:space="0" w:color="auto"/>
        <w:right w:val="none" w:sz="0" w:space="0" w:color="auto"/>
      </w:divBdr>
    </w:div>
    <w:div w:id="1948076624">
      <w:bodyDiv w:val="1"/>
      <w:marLeft w:val="0"/>
      <w:marRight w:val="0"/>
      <w:marTop w:val="0"/>
      <w:marBottom w:val="0"/>
      <w:divBdr>
        <w:top w:val="none" w:sz="0" w:space="0" w:color="auto"/>
        <w:left w:val="none" w:sz="0" w:space="0" w:color="auto"/>
        <w:bottom w:val="none" w:sz="0" w:space="0" w:color="auto"/>
        <w:right w:val="none" w:sz="0" w:space="0" w:color="auto"/>
      </w:divBdr>
    </w:div>
    <w:div w:id="2011370761">
      <w:bodyDiv w:val="1"/>
      <w:marLeft w:val="0"/>
      <w:marRight w:val="0"/>
      <w:marTop w:val="0"/>
      <w:marBottom w:val="0"/>
      <w:divBdr>
        <w:top w:val="none" w:sz="0" w:space="0" w:color="auto"/>
        <w:left w:val="none" w:sz="0" w:space="0" w:color="auto"/>
        <w:bottom w:val="none" w:sz="0" w:space="0" w:color="auto"/>
        <w:right w:val="none" w:sz="0" w:space="0" w:color="auto"/>
      </w:divBdr>
      <w:divsChild>
        <w:div w:id="23633277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4923926">
              <w:marLeft w:val="0"/>
              <w:marRight w:val="0"/>
              <w:marTop w:val="0"/>
              <w:marBottom w:val="0"/>
              <w:divBdr>
                <w:top w:val="none" w:sz="0" w:space="0" w:color="auto"/>
                <w:left w:val="none" w:sz="0" w:space="0" w:color="auto"/>
                <w:bottom w:val="none" w:sz="0" w:space="0" w:color="auto"/>
                <w:right w:val="none" w:sz="0" w:space="0" w:color="auto"/>
              </w:divBdr>
              <w:divsChild>
                <w:div w:id="1505631833">
                  <w:marLeft w:val="0"/>
                  <w:marRight w:val="0"/>
                  <w:marTop w:val="0"/>
                  <w:marBottom w:val="0"/>
                  <w:divBdr>
                    <w:top w:val="none" w:sz="0" w:space="0" w:color="auto"/>
                    <w:left w:val="none" w:sz="0" w:space="0" w:color="auto"/>
                    <w:bottom w:val="none" w:sz="0" w:space="0" w:color="auto"/>
                    <w:right w:val="none" w:sz="0" w:space="0" w:color="auto"/>
                  </w:divBdr>
                  <w:divsChild>
                    <w:div w:id="1850868805">
                      <w:marLeft w:val="0"/>
                      <w:marRight w:val="0"/>
                      <w:marTop w:val="0"/>
                      <w:marBottom w:val="0"/>
                      <w:divBdr>
                        <w:top w:val="none" w:sz="0" w:space="0" w:color="auto"/>
                        <w:left w:val="none" w:sz="0" w:space="0" w:color="auto"/>
                        <w:bottom w:val="none" w:sz="0" w:space="0" w:color="auto"/>
                        <w:right w:val="none" w:sz="0" w:space="0" w:color="auto"/>
                      </w:divBdr>
                      <w:divsChild>
                        <w:div w:id="572856091">
                          <w:marLeft w:val="0"/>
                          <w:marRight w:val="0"/>
                          <w:marTop w:val="0"/>
                          <w:marBottom w:val="0"/>
                          <w:divBdr>
                            <w:top w:val="none" w:sz="0" w:space="0" w:color="auto"/>
                            <w:left w:val="none" w:sz="0" w:space="0" w:color="auto"/>
                            <w:bottom w:val="none" w:sz="0" w:space="0" w:color="auto"/>
                            <w:right w:val="none" w:sz="0" w:space="0" w:color="auto"/>
                          </w:divBdr>
                          <w:divsChild>
                            <w:div w:id="1244219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1857500">
      <w:bodyDiv w:val="1"/>
      <w:marLeft w:val="0"/>
      <w:marRight w:val="0"/>
      <w:marTop w:val="0"/>
      <w:marBottom w:val="0"/>
      <w:divBdr>
        <w:top w:val="none" w:sz="0" w:space="0" w:color="auto"/>
        <w:left w:val="none" w:sz="0" w:space="0" w:color="auto"/>
        <w:bottom w:val="none" w:sz="0" w:space="0" w:color="auto"/>
        <w:right w:val="none" w:sz="0" w:space="0" w:color="auto"/>
      </w:divBdr>
    </w:div>
    <w:div w:id="2100978412">
      <w:bodyDiv w:val="1"/>
      <w:marLeft w:val="0"/>
      <w:marRight w:val="0"/>
      <w:marTop w:val="0"/>
      <w:marBottom w:val="0"/>
      <w:divBdr>
        <w:top w:val="none" w:sz="0" w:space="0" w:color="auto"/>
        <w:left w:val="none" w:sz="0" w:space="0" w:color="auto"/>
        <w:bottom w:val="none" w:sz="0" w:space="0" w:color="auto"/>
        <w:right w:val="none" w:sz="0" w:space="0" w:color="auto"/>
      </w:divBdr>
    </w:div>
    <w:div w:id="2139452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pubmed/?term=Durbin%20RM"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ncbi.nlm.nih.gov/pubmed/?term=Auton%20A" TargetMode="External"/><Relationship Id="rId17" Type="http://schemas.openxmlformats.org/officeDocument/2006/relationships/hyperlink" Target="https://www.ncbi.nlm.nih.gov/pubmed/?term=Eichler%20EE" TargetMode="External"/><Relationship Id="rId2" Type="http://schemas.openxmlformats.org/officeDocument/2006/relationships/numbering" Target="numbering.xml"/><Relationship Id="rId16" Type="http://schemas.openxmlformats.org/officeDocument/2006/relationships/hyperlink" Target="https://www.ncbi.nlm.nih.gov/pubmed/?term=Donnelly%20P"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ncbi.nlm.nih.gov/pubmed/?term=Clark%20AG" TargetMode="Externa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ncbi.nlm.nih.gov/pubmed/?term=Bentley%20DR"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6A2E8E-C40A-4082-BD5C-552C6C1D12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6</Pages>
  <Words>1491</Words>
  <Characters>8923</Characters>
  <Application>Microsoft Office Word</Application>
  <DocSecurity>0</DocSecurity>
  <Lines>148</Lines>
  <Paragraphs>48</Paragraphs>
  <ScaleCrop>false</ScaleCrop>
  <HeadingPairs>
    <vt:vector size="2" baseType="variant">
      <vt:variant>
        <vt:lpstr>Title</vt:lpstr>
      </vt:variant>
      <vt:variant>
        <vt:i4>1</vt:i4>
      </vt:variant>
    </vt:vector>
  </HeadingPairs>
  <TitlesOfParts>
    <vt:vector size="1" baseType="lpstr">
      <vt:lpstr>S</vt:lpstr>
    </vt:vector>
  </TitlesOfParts>
  <Company>Rush University Medical Center</Company>
  <LinksUpToDate>false</LinksUpToDate>
  <CharactersWithSpaces>10366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dc:title>
  <dc:creator>MDPI</dc:creator>
  <cp:lastModifiedBy>mdpi</cp:lastModifiedBy>
  <cp:revision>4</cp:revision>
  <dcterms:created xsi:type="dcterms:W3CDTF">2019-09-12T21:03:00Z</dcterms:created>
  <dcterms:modified xsi:type="dcterms:W3CDTF">2019-09-16T06:43:00Z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4c7f5791-131f-3a6a-a4b7-36db3551c8c5</vt:lpwstr>
  </property>
  <property fmtid="{D5CDD505-2E9C-101B-9397-08002B2CF9AE}" pid="4" name="Mendeley Citation Style_1">
    <vt:lpwstr>http://www.zotero.org/styles/american-chemical-society</vt:lpwstr>
  </property>
  <property fmtid="{D5CDD505-2E9C-101B-9397-08002B2CF9AE}" pid="5" name="Mendeley Recent Style Id 0_1">
    <vt:lpwstr>http://www.zotero.org/styles/american-chemical-society</vt:lpwstr>
  </property>
  <property fmtid="{D5CDD505-2E9C-101B-9397-08002B2CF9AE}" pid="6" name="Mendeley Recent Style Name 0_1">
    <vt:lpwstr>American Chemical Society</vt:lpwstr>
  </property>
  <property fmtid="{D5CDD505-2E9C-101B-9397-08002B2CF9AE}" pid="7" name="Mendeley Recent Style Id 1_1">
    <vt:lpwstr>http://www.zotero.org/styles/american-medical-association</vt:lpwstr>
  </property>
  <property fmtid="{D5CDD505-2E9C-101B-9397-08002B2CF9AE}" pid="8" name="Mendeley Recent Style Name 1_1">
    <vt:lpwstr>American Medical Association</vt:lpwstr>
  </property>
  <property fmtid="{D5CDD505-2E9C-101B-9397-08002B2CF9AE}" pid="9" name="Mendeley Recent Style Id 2_1">
    <vt:lpwstr>http://www.zotero.org/styles/american-political-science-association</vt:lpwstr>
  </property>
  <property fmtid="{D5CDD505-2E9C-101B-9397-08002B2CF9AE}" pid="10" name="Mendeley Recent Style Name 2_1">
    <vt:lpwstr>American Political Science Association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